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537" w:rsidRPr="002A5537" w:rsidRDefault="002A5537" w:rsidP="002A5537">
      <w:pPr>
        <w:pStyle w:val="Naslov"/>
        <w:jc w:val="center"/>
        <w:rPr>
          <w:rFonts w:eastAsia="Times New Roman"/>
          <w:lang w:eastAsia="sr-Latn-RS"/>
        </w:rPr>
      </w:pPr>
      <w:bookmarkStart w:id="0" w:name="str_1"/>
      <w:bookmarkEnd w:id="0"/>
      <w:r w:rsidRPr="002A5537">
        <w:rPr>
          <w:rFonts w:eastAsia="Times New Roman"/>
          <w:lang w:eastAsia="sr-Latn-RS"/>
        </w:rPr>
        <w:t>UREDBA</w:t>
      </w:r>
    </w:p>
    <w:p w:rsidR="002A5537" w:rsidRPr="002A5537" w:rsidRDefault="002A5537" w:rsidP="002A5537">
      <w:pPr>
        <w:pStyle w:val="Naslov"/>
        <w:jc w:val="center"/>
        <w:rPr>
          <w:rFonts w:eastAsia="Times New Roman"/>
          <w:lang w:eastAsia="sr-Latn-RS"/>
        </w:rPr>
      </w:pPr>
      <w:r w:rsidRPr="002A5537">
        <w:rPr>
          <w:rFonts w:eastAsia="Times New Roman"/>
          <w:lang w:eastAsia="sr-Latn-RS"/>
        </w:rPr>
        <w:t>O GRANIČNIM VREDNOSTIMA EMISIJA ZAGAĐUJUĆIH MATERIJA U VAZDUH IZ POSTROJENJA ZA SAGOREVANJE</w:t>
      </w:r>
    </w:p>
    <w:p w:rsidR="002A5537" w:rsidRDefault="002A5537" w:rsidP="002A5537">
      <w:pPr>
        <w:pStyle w:val="Podnaslov"/>
        <w:jc w:val="center"/>
        <w:rPr>
          <w:rFonts w:eastAsia="Times New Roman"/>
          <w:lang w:eastAsia="sr-Latn-RS"/>
        </w:rPr>
      </w:pPr>
      <w:r w:rsidRPr="002A5537">
        <w:rPr>
          <w:rFonts w:eastAsia="Times New Roman"/>
          <w:lang w:eastAsia="sr-Latn-RS"/>
        </w:rPr>
        <w:t>("Sl. glasnik RS", br. 6/2016)</w:t>
      </w:r>
    </w:p>
    <w:p w:rsidR="002A5537" w:rsidRDefault="002A5537" w:rsidP="002A5537">
      <w:pPr>
        <w:spacing w:after="0" w:line="240" w:lineRule="auto"/>
        <w:jc w:val="center"/>
        <w:rPr>
          <w:rFonts w:ascii="Arial" w:eastAsia="Times New Roman" w:hAnsi="Arial" w:cs="Arial"/>
          <w:sz w:val="31"/>
          <w:szCs w:val="31"/>
          <w:lang w:eastAsia="sr-Latn-RS"/>
        </w:rPr>
      </w:pPr>
    </w:p>
    <w:p w:rsidR="00C11B63" w:rsidRPr="00C11B63" w:rsidRDefault="00C11B63" w:rsidP="002A5537">
      <w:pPr>
        <w:spacing w:after="0" w:line="240" w:lineRule="auto"/>
        <w:jc w:val="center"/>
        <w:rPr>
          <w:rFonts w:ascii="Arial" w:eastAsia="Times New Roman" w:hAnsi="Arial" w:cs="Arial"/>
          <w:sz w:val="31"/>
          <w:szCs w:val="31"/>
          <w:lang w:eastAsia="sr-Latn-RS"/>
        </w:rPr>
      </w:pPr>
      <w:r w:rsidRPr="00C11B63">
        <w:rPr>
          <w:rFonts w:ascii="Arial" w:eastAsia="Times New Roman" w:hAnsi="Arial" w:cs="Arial"/>
          <w:sz w:val="31"/>
          <w:szCs w:val="31"/>
          <w:lang w:eastAsia="sr-Latn-RS"/>
        </w:rPr>
        <w:t xml:space="preserve">I UVODNE ODREDBE </w:t>
      </w:r>
      <w:bookmarkStart w:id="1" w:name="_GoBack"/>
      <w:bookmarkEnd w:id="1"/>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2" w:name="str_2"/>
      <w:bookmarkEnd w:id="2"/>
      <w:r w:rsidRPr="00C11B63">
        <w:rPr>
          <w:rFonts w:ascii="Arial" w:eastAsia="Times New Roman" w:hAnsi="Arial" w:cs="Arial"/>
          <w:b/>
          <w:bCs/>
          <w:i/>
          <w:iCs/>
          <w:sz w:val="24"/>
          <w:szCs w:val="24"/>
          <w:lang w:eastAsia="sr-Latn-RS"/>
        </w:rPr>
        <w:t xml:space="preserve">Predmet uređivanja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3" w:name="clan_1"/>
      <w:bookmarkEnd w:id="3"/>
      <w:r w:rsidRPr="00C11B63">
        <w:rPr>
          <w:rFonts w:ascii="Arial" w:eastAsia="Times New Roman" w:hAnsi="Arial" w:cs="Arial"/>
          <w:b/>
          <w:bCs/>
          <w:sz w:val="24"/>
          <w:szCs w:val="24"/>
          <w:lang w:eastAsia="sr-Latn-RS"/>
        </w:rPr>
        <w:t xml:space="preserve">Član 1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Ovom uredbom propisuju se: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granične vrednosti emisije zagađujućih materija u vazduh iz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način i rokovi za dostavljanje podataka;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postupak određivanja ukupne godišnje emisije iz postrojenja za sagorevanje.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4" w:name="clan_2"/>
      <w:bookmarkEnd w:id="4"/>
      <w:r w:rsidRPr="00C11B63">
        <w:rPr>
          <w:rFonts w:ascii="Arial" w:eastAsia="Times New Roman" w:hAnsi="Arial" w:cs="Arial"/>
          <w:b/>
          <w:bCs/>
          <w:sz w:val="24"/>
          <w:szCs w:val="24"/>
          <w:lang w:eastAsia="sr-Latn-RS"/>
        </w:rPr>
        <w:t xml:space="preserve">Član 2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Odredbe ove uredbe primenjuju se na postrojenja za sagorevanje, koja mogu biti velika postrojenja za sagorevanje, srednja postrojenja za sagorevanje i mala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Emisija zagađujućih materija u vazduh iz postrojenja za sagorevanje utvrđuje se merenjem i/ili izračunavanjem emisionih parametara na osnovu rezultata merenja.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Merenje emisije zagađujućih materija vrši se mernim uređajima, na mernim mestima, primenom propisanih metoda merenja u skladu sa odredbama propisa kojim se uređuju merenja emisija zagađujućih materija u vazduh iz stacionarnih izvora zagađivanja.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5" w:name="str_3"/>
      <w:bookmarkEnd w:id="5"/>
      <w:r w:rsidRPr="00C11B63">
        <w:rPr>
          <w:rFonts w:ascii="Arial" w:eastAsia="Times New Roman" w:hAnsi="Arial" w:cs="Arial"/>
          <w:b/>
          <w:bCs/>
          <w:i/>
          <w:iCs/>
          <w:sz w:val="24"/>
          <w:szCs w:val="24"/>
          <w:lang w:eastAsia="sr-Latn-RS"/>
        </w:rPr>
        <w:t xml:space="preserve">Značenje izraza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6" w:name="clan_3"/>
      <w:bookmarkEnd w:id="6"/>
      <w:r w:rsidRPr="00C11B63">
        <w:rPr>
          <w:rFonts w:ascii="Arial" w:eastAsia="Times New Roman" w:hAnsi="Arial" w:cs="Arial"/>
          <w:b/>
          <w:bCs/>
          <w:sz w:val="24"/>
          <w:szCs w:val="24"/>
          <w:lang w:eastAsia="sr-Latn-RS"/>
        </w:rPr>
        <w:t xml:space="preserve">Član 3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Pojedini izrazi upotrebljeni u ovoj uredbi imaju sledeće značenje: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emisija je ispuštanje zagađujućih materija iz postrojenja za sagorevanje u vazduh;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otpadni gasovi jesu gasovi ispušteni u vazduh koji sadrže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u čvrstom, tečnom ili gasovitom stanju. Zapreminski protok otpadnog gasa izražava se u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/h pri </w:t>
      </w:r>
      <w:r w:rsidRPr="00C11B63">
        <w:rPr>
          <w:rFonts w:ascii="Arial" w:eastAsia="Times New Roman" w:hAnsi="Arial" w:cs="Arial"/>
          <w:lang w:eastAsia="sr-Latn-RS"/>
        </w:rPr>
        <w:lastRenderedPageBreak/>
        <w:t xml:space="preserve">normalnim uslovima (temperaturi 273,15 K i na pritisku 101,3 </w:t>
      </w:r>
      <w:proofErr w:type="spellStart"/>
      <w:r w:rsidRPr="00C11B63">
        <w:rPr>
          <w:rFonts w:ascii="Arial" w:eastAsia="Times New Roman" w:hAnsi="Arial" w:cs="Arial"/>
          <w:lang w:eastAsia="sr-Latn-RS"/>
        </w:rPr>
        <w:t>kPa</w:t>
      </w:r>
      <w:proofErr w:type="spellEnd"/>
      <w:r w:rsidRPr="00C11B63">
        <w:rPr>
          <w:rFonts w:ascii="Arial" w:eastAsia="Times New Roman" w:hAnsi="Arial" w:cs="Arial"/>
          <w:lang w:eastAsia="sr-Latn-RS"/>
        </w:rPr>
        <w:t>), u suvom gasu (nakon korekcije na sadržaj vodene pare od 0%, u daljem tekstu: 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/h);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granična vrednost emisije (GVE) je najveća dozvoljena količina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sadržana u otpadnim gasovima koja može biti emitovana u vazduh iz postrojenja za sagorevanje u određenom periodu. Izražava se kao masa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w:t>
      </w:r>
      <w:proofErr w:type="spellStart"/>
      <w:r w:rsidRPr="00C11B63">
        <w:rPr>
          <w:rFonts w:ascii="Arial" w:eastAsia="Times New Roman" w:hAnsi="Arial" w:cs="Arial"/>
          <w:lang w:eastAsia="sr-Latn-RS"/>
        </w:rPr>
        <w:t>masena</w:t>
      </w:r>
      <w:proofErr w:type="spellEnd"/>
      <w:r w:rsidRPr="00C11B63">
        <w:rPr>
          <w:rFonts w:ascii="Arial" w:eastAsia="Times New Roman" w:hAnsi="Arial" w:cs="Arial"/>
          <w:lang w:eastAsia="sr-Latn-RS"/>
        </w:rPr>
        <w:t xml:space="preserve"> koncentracija) koja se nalazi u 1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suvog otpadnog gasa, pri normalnim uslovima (temperaturi 273,15 K i na pritisku 101,3 </w:t>
      </w:r>
      <w:proofErr w:type="spellStart"/>
      <w:r w:rsidRPr="00C11B63">
        <w:rPr>
          <w:rFonts w:ascii="Arial" w:eastAsia="Times New Roman" w:hAnsi="Arial" w:cs="Arial"/>
          <w:lang w:eastAsia="sr-Latn-RS"/>
        </w:rPr>
        <w:t>kPa</w:t>
      </w:r>
      <w:proofErr w:type="spellEnd"/>
      <w:r w:rsidRPr="00C11B63">
        <w:rPr>
          <w:rFonts w:ascii="Arial" w:eastAsia="Times New Roman" w:hAnsi="Arial" w:cs="Arial"/>
          <w:lang w:eastAsia="sr-Latn-RS"/>
        </w:rPr>
        <w:t>) izražena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pod uslovom da je zapreminski udeo kiseonika u otpadnom gasu kod velikih postrojenja 3% u slučaju tečnih i gasovitih goriva, 6% u slučaju čvrstih goriva i 15% u slučaju gasnih turbina, a u slučaju srednjih postrojenja i malih postrojenja zapreminski udeo kiseonika u otpadnom gasu je propisan u Prilogu 2 - Granične vrednosti emisija za srednja postrojenja za sagorevanje i Prilogu 3 - Granične vrednosti emisija za mala postrojenja za sagorevanje, koji su odštampani uz ovu uredbu i čine njen sastavni deo;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4)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je odnos količine sumpora koja se ne emituje u vazduh iz postrojenja za sagorevanje u određenom periodu i količine sumpora sadržanog u gorivu, koja je uneta u postrojenje za sagorevanje i koja je korišćena u istom posmatranom periodu;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5) gorivo je čvrsti, tečni ili gasoviti materijal koji se koristi za sagorevanje, isključujući otpad u skladu sa zakonom kojim se uređuje upravljanje otpadom;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6) postrojenje za sagorevanje je tehnički sistem u kome se gorivo </w:t>
      </w:r>
      <w:proofErr w:type="spellStart"/>
      <w:r w:rsidRPr="00C11B63">
        <w:rPr>
          <w:rFonts w:ascii="Arial" w:eastAsia="Times New Roman" w:hAnsi="Arial" w:cs="Arial"/>
          <w:lang w:eastAsia="sr-Latn-RS"/>
        </w:rPr>
        <w:t>oksiduje</w:t>
      </w:r>
      <w:proofErr w:type="spellEnd"/>
      <w:r w:rsidRPr="00C11B63">
        <w:rPr>
          <w:rFonts w:ascii="Arial" w:eastAsia="Times New Roman" w:hAnsi="Arial" w:cs="Arial"/>
          <w:lang w:eastAsia="sr-Latn-RS"/>
        </w:rPr>
        <w:t xml:space="preserve"> u cilju korišćenja na taj način proizvedene toplote. Pod postrojenjem za sagorevanje, u smislu ove uredbe, podrazumevaju se samo postrojenja za sagorevanje koja se koriste za proizvodnju energije izuzev onih koja direktno koriste produkte sagorevanja u proizvodnim procesima.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Pod postrojenjem za sagorevanje u smislu ove uredbe ne podrazumevaju se sledeća postrojenja: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postrojenja u kojima se produkti sagorevanja koriste za direktno grejanje, sušenje ili neki drugi način obrade predmeta ili materijala (na primer peći za ponovno zagrevanje ili peći za termičku obradu);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postrojenja za naknadno sagorevanje, odnosno bilo koji tehnički uređaj namenjen za prečišćavanje otpadnih gasova sagorevanjem, koji ne radi kao posebno postrojenje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postrojenja za regeneraciju katalizatora iz procesa katalitičkog </w:t>
      </w:r>
      <w:proofErr w:type="spellStart"/>
      <w:r w:rsidRPr="00C11B63">
        <w:rPr>
          <w:rFonts w:ascii="Arial" w:eastAsia="Times New Roman" w:hAnsi="Arial" w:cs="Arial"/>
          <w:lang w:eastAsia="sr-Latn-RS"/>
        </w:rPr>
        <w:t>krekinga</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4) postrojenja za konverziju vodonik sulfida u sumpor;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5) reaktore koji se koriste u hemijskoj industriji;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6) baterije </w:t>
      </w:r>
      <w:proofErr w:type="spellStart"/>
      <w:r w:rsidRPr="00C11B63">
        <w:rPr>
          <w:rFonts w:ascii="Arial" w:eastAsia="Times New Roman" w:hAnsi="Arial" w:cs="Arial"/>
          <w:lang w:eastAsia="sr-Latn-RS"/>
        </w:rPr>
        <w:t>koksnih</w:t>
      </w:r>
      <w:proofErr w:type="spellEnd"/>
      <w:r w:rsidRPr="00C11B63">
        <w:rPr>
          <w:rFonts w:ascii="Arial" w:eastAsia="Times New Roman" w:hAnsi="Arial" w:cs="Arial"/>
          <w:lang w:eastAsia="sr-Latn-RS"/>
        </w:rPr>
        <w:t xml:space="preserve"> peći;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7) </w:t>
      </w:r>
      <w:proofErr w:type="spellStart"/>
      <w:r w:rsidRPr="00C11B63">
        <w:rPr>
          <w:rFonts w:ascii="Arial" w:eastAsia="Times New Roman" w:hAnsi="Arial" w:cs="Arial"/>
          <w:lang w:eastAsia="sr-Latn-RS"/>
        </w:rPr>
        <w:t>kaupere</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8) bilo koji tehnički uređaj koji služi za pogon vozila, broda ili aviona;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9) gasne turbine koje poseduju upotrebnu dozvolu izdatu na dan ili posle 1. jula 1992. godine, a pre 1. januara 2018. godine, a u nedostatku upotrebne dozvole građevinsku dozvolu ili koje su puštene u rad na dan ili posle 1. jula 1992. godine, a pre 1. januara 2018. </w:t>
      </w:r>
      <w:r w:rsidRPr="00C11B63">
        <w:rPr>
          <w:rFonts w:ascii="Arial" w:eastAsia="Times New Roman" w:hAnsi="Arial" w:cs="Arial"/>
          <w:lang w:eastAsia="sr-Latn-RS"/>
        </w:rPr>
        <w:lastRenderedPageBreak/>
        <w:t xml:space="preserve">godine, bez obzira na čl. 12. i 13. i Prilog 4. pod A) - Utvrđivanje ukupnih godišnjih emisija iz postojećih velikih postrojenja za sagorevanje, koji je odštampan uz ovu uredbu i čini njen sastavni deo i odredbe propisa kojim se uređuju merenja emisija zagađujućih materija u vazduh iz stacionarnih izvora zagađivanja.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Kada su dva ili više odvojenih novih velikih, srednjih i malih postrojenja izgrađena na način da bi se po mišljenju nadležnog organa, uzimajući u obzir tehničke i ekonomske faktore, njihovi otpadni gasovi mogli ispuštati kroz zajednički dimnjak, takva postrojenja se smatraju jednim postrojenjem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Kada su dva ili više odvojenih starih i postojećih velikih, srednjih i malih postrojenja izgrađena na način da se njihovi otpadni gasovi ispuštaju kroz zajednički dimnjak, takva postrojenja se smatraju jednim postrojenjem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smislu izračunavanja ukupne toplotne snage velikog postrojenja za sagorevanje, ne razmatraju se pojedinačna postrojenja toplotne snage manje od 15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smislu izračunavanja ukupne toplotne snage srednjeg i malog postrojenja za sagorevanje, uzimaju se u obzir pojedinačna postrojenja svih toplotnih snaga.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7) postrojenje koje koristi više vrsta goriva je postrojenje za sagorevanje koje može istovremeno ili alternativno da koristi dva ili više vrsta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8) staro veliko postrojenje za sagorevanje je postrojenje za sagorevanje koje poseduje upotrebnu dozvolu izdatu pre 1. jula 1992. godine, a u nedostatku upotrebne dozvole građevinsku dozvolu ili koje je pušteno u rad pre 1. jula 1992.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9) postojeće veliko postrojenje za sagorevanje je postrojenje za sagorevanje koje poseduje upotrebnu dozvolu izdatu na dan ili posle 1. jula 1992. godine, a pre 1. januara 2018. godine, a u </w:t>
      </w:r>
      <w:proofErr w:type="spellStart"/>
      <w:r w:rsidRPr="00C11B63">
        <w:rPr>
          <w:rFonts w:ascii="Arial" w:eastAsia="Times New Roman" w:hAnsi="Arial" w:cs="Arial"/>
          <w:lang w:eastAsia="sr-Latn-RS"/>
        </w:rPr>
        <w:t>nedostaku</w:t>
      </w:r>
      <w:proofErr w:type="spellEnd"/>
      <w:r w:rsidRPr="00C11B63">
        <w:rPr>
          <w:rFonts w:ascii="Arial" w:eastAsia="Times New Roman" w:hAnsi="Arial" w:cs="Arial"/>
          <w:lang w:eastAsia="sr-Latn-RS"/>
        </w:rPr>
        <w:t xml:space="preserve"> upotrebne dozvole građevinsku dozvolu ili koje je pušteno u rad na dan ili posle 1. jula 1992. godine, a pre 1. januara 2018.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10) novo veliko postrojenje za sagorevanje je postrojenje za sagorevanje koje poseduje upotrebnu dozvolu na dan ili posle 1. januara 2018. godine, a u nedostatku upotrebne dozvole građevinsku dozvolu ili koje je pušteno u rad na dan ili posle 1. januara 2018.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11) postojeće srednje postrojenje je postrojenje za sagorevanje koje poseduje upotrebnu dozvolu izdatu pre dana stupanja na snagu ove uredbe, a u nedostatku upotrebne dozvole građevinsku dozvolu ili koje je pušteno u rad pre dana stupanja na snagu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12) novo srednje postrojenje je postrojenje za sagorevanje koje poseduje upotrebnu dozvolu izdatu posle dana stupanja na snagu ove uredbe, a u nedostatku upotrebne dozvole građevinsku dozvolu ili koje je pušteno u rad posle dana stupanja na snagu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13) postojeće malo postrojenje je postrojenje za sagorevanje koje poseduje upotrebnu dozvolu izdatu pre dana stupanja na snagu ove uredbe, a u nedostatku upotrebne dozvole građevinsku dozvolu ili koje je pušteno u rad pre dana stupanja na snagu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14) novo malo postrojenje je postrojenje za sagorevanje koje poseduje upotrebnu dozvolu izdatu posle dana stupanja na snagu ove uredbe, a u nedostatku upotrebne dozvole građevinsku dozvolu ili koje je pušteno u rad posle dana stupanja na snagu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15) određujuće gorivo je gorivo koje, među svim gorivima koja su korišćena u postrojenjima za sagorevanje koja koriste više vrsta goriva i koja koriste ostatke iz procesa destilacije ili procesa prerade sirove nafte za sopstvenu potrošnju, samostalno ili u smeši sa drugim gorivima, ima najveću graničnu vrednost emisije iz Priloga 1. ove uredbe ili u slučaju kad nekoliko goriva ima istu graničnu vrednost emisije, gorivo koje ima najveću toplotnu snagu među tim gorivima;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16) biomasa predstavlja proizvode koji se u celini ili delimično sastoje od biljne materije iz poljoprivrede ili šumarstva, koji se mogu koristiti kao gorivo u cilju dobijanja energije, kao i sledeće vrste otpada koje se koriste kao gorivo: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 xml:space="preserve">(1) biljni otpad iz poljoprivrede i šumarstva;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 xml:space="preserve">(2) biljni otpad iz prehrambene industrije, ako se koristi dobijena toplota;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(3) vlaknasti biljni otpad iz proizvodnje celuloze i papira iz celuloze, ako se vrši ko-</w:t>
      </w:r>
      <w:proofErr w:type="spellStart"/>
      <w:r w:rsidRPr="00C11B63">
        <w:rPr>
          <w:rFonts w:ascii="Arial" w:eastAsia="Times New Roman" w:hAnsi="Arial" w:cs="Arial"/>
          <w:lang w:eastAsia="sr-Latn-RS"/>
        </w:rPr>
        <w:t>insineracija</w:t>
      </w:r>
      <w:proofErr w:type="spellEnd"/>
      <w:r w:rsidRPr="00C11B63">
        <w:rPr>
          <w:rFonts w:ascii="Arial" w:eastAsia="Times New Roman" w:hAnsi="Arial" w:cs="Arial"/>
          <w:lang w:eastAsia="sr-Latn-RS"/>
        </w:rPr>
        <w:t xml:space="preserve"> na mestu proizvodnje i ako se koristi dobijena toplota;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 xml:space="preserve">(4) otpad od plute;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 xml:space="preserve">(5) drvni otpad, osim drvnog otpada koji može da sadrži </w:t>
      </w:r>
      <w:proofErr w:type="spellStart"/>
      <w:r w:rsidRPr="00C11B63">
        <w:rPr>
          <w:rFonts w:ascii="Arial" w:eastAsia="Times New Roman" w:hAnsi="Arial" w:cs="Arial"/>
          <w:lang w:eastAsia="sr-Latn-RS"/>
        </w:rPr>
        <w:t>halogenovana</w:t>
      </w:r>
      <w:proofErr w:type="spellEnd"/>
      <w:r w:rsidRPr="00C11B63">
        <w:rPr>
          <w:rFonts w:ascii="Arial" w:eastAsia="Times New Roman" w:hAnsi="Arial" w:cs="Arial"/>
          <w:lang w:eastAsia="sr-Latn-RS"/>
        </w:rPr>
        <w:t xml:space="preserve"> organska jedinjenja ili teške metale koji nastaju upotrebom proizvoda za zaštitu drveta ili premaza, kao i drvni otpad koji potiče od obrade </w:t>
      </w:r>
      <w:proofErr w:type="spellStart"/>
      <w:r w:rsidRPr="00C11B63">
        <w:rPr>
          <w:rFonts w:ascii="Arial" w:eastAsia="Times New Roman" w:hAnsi="Arial" w:cs="Arial"/>
          <w:lang w:eastAsia="sr-Latn-RS"/>
        </w:rPr>
        <w:t>pločastih</w:t>
      </w:r>
      <w:proofErr w:type="spellEnd"/>
      <w:r w:rsidRPr="00C11B63">
        <w:rPr>
          <w:rFonts w:ascii="Arial" w:eastAsia="Times New Roman" w:hAnsi="Arial" w:cs="Arial"/>
          <w:lang w:eastAsia="sr-Latn-RS"/>
        </w:rPr>
        <w:t xml:space="preserve"> materijala, građevinskog otpada ili otpada nastalog rušenjem;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17) gasna turbina je rotaciona mašina koja pretvara toplotnu energiju u mehanički rad, sastavljena uglavnom od kompresora, toplotnog uređaja u kojem se gorivo </w:t>
      </w:r>
      <w:proofErr w:type="spellStart"/>
      <w:r w:rsidRPr="00C11B63">
        <w:rPr>
          <w:rFonts w:ascii="Arial" w:eastAsia="Times New Roman" w:hAnsi="Arial" w:cs="Arial"/>
          <w:lang w:eastAsia="sr-Latn-RS"/>
        </w:rPr>
        <w:t>oksiduje</w:t>
      </w:r>
      <w:proofErr w:type="spellEnd"/>
      <w:r w:rsidRPr="00C11B63">
        <w:rPr>
          <w:rFonts w:ascii="Arial" w:eastAsia="Times New Roman" w:hAnsi="Arial" w:cs="Arial"/>
          <w:lang w:eastAsia="sr-Latn-RS"/>
        </w:rPr>
        <w:t xml:space="preserve"> u cilju grejanja radnog fluida i turbine;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18) dimnjak predstavlja građevinsku strukturu kroz koju, neposredno pre ispuštanja u vazduh, prolaze otpadni gasovi, u jednom ili u više razdvojenih tokova, tj. </w:t>
      </w:r>
      <w:proofErr w:type="spellStart"/>
      <w:r w:rsidRPr="00C11B63">
        <w:rPr>
          <w:rFonts w:ascii="Arial" w:eastAsia="Times New Roman" w:hAnsi="Arial" w:cs="Arial"/>
          <w:lang w:eastAsia="sr-Latn-RS"/>
        </w:rPr>
        <w:t>dimovodnih</w:t>
      </w:r>
      <w:proofErr w:type="spellEnd"/>
      <w:r w:rsidRPr="00C11B63">
        <w:rPr>
          <w:rFonts w:ascii="Arial" w:eastAsia="Times New Roman" w:hAnsi="Arial" w:cs="Arial"/>
          <w:lang w:eastAsia="sr-Latn-RS"/>
        </w:rPr>
        <w:t xml:space="preserve"> cevi;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19) gasni motor je motor sa unutrašnjim sagorevanjem koji radi prema Oto ciklusu i za paljenje koristi iskru (varnicu) ili, u slučaju motora na dvojno gorivo, kompresiju;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20) radni časovi predstavljaju vreme, izraženo u časovima, tokom kojeg postrojenje za sagorevanje, u celini ili jedan njegov deo, radi i ispušta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u vazduh, osim perioda pokretanja i zaustavljanja postrojenja;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21) pokretanje i zaustavljanje postrojenja je postupak kojim se postrojenje za sagorevanje dovodi u stanje rada ili mirovanja;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22) toplotna snaga postrojenja za sagorevanje (izražena u jedinici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je maksimalna količina toplotne energije sagorelog goriva u jedinici vremena određena prema donjoj toplotnoj moći goriva, na temperaturi 0°C (273,15 K) i pritisku 101,3 </w:t>
      </w:r>
      <w:proofErr w:type="spellStart"/>
      <w:r w:rsidRPr="00C11B63">
        <w:rPr>
          <w:rFonts w:ascii="Arial" w:eastAsia="Times New Roman" w:hAnsi="Arial" w:cs="Arial"/>
          <w:lang w:eastAsia="sr-Latn-RS"/>
        </w:rPr>
        <w:t>kPa</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23) dimni broj je stepen </w:t>
      </w:r>
      <w:proofErr w:type="spellStart"/>
      <w:r w:rsidRPr="00C11B63">
        <w:rPr>
          <w:rFonts w:ascii="Arial" w:eastAsia="Times New Roman" w:hAnsi="Arial" w:cs="Arial"/>
          <w:lang w:eastAsia="sr-Latn-RS"/>
        </w:rPr>
        <w:t>zatamnjenja</w:t>
      </w:r>
      <w:proofErr w:type="spellEnd"/>
      <w:r w:rsidRPr="00C11B63">
        <w:rPr>
          <w:rFonts w:ascii="Arial" w:eastAsia="Times New Roman" w:hAnsi="Arial" w:cs="Arial"/>
          <w:lang w:eastAsia="sr-Latn-RS"/>
        </w:rPr>
        <w:t xml:space="preserve"> površine filter papira koji izazivaju otpadni gasovi. Dimni broj izražava se pomoću skale od deset polja (od 0 do 9) različitog intenziteta </w:t>
      </w:r>
      <w:proofErr w:type="spellStart"/>
      <w:r w:rsidRPr="00C11B63">
        <w:rPr>
          <w:rFonts w:ascii="Arial" w:eastAsia="Times New Roman" w:hAnsi="Arial" w:cs="Arial"/>
          <w:lang w:eastAsia="sr-Latn-RS"/>
        </w:rPr>
        <w:t>zatamnjenja</w:t>
      </w:r>
      <w:proofErr w:type="spellEnd"/>
      <w:r w:rsidRPr="00C11B63">
        <w:rPr>
          <w:rFonts w:ascii="Arial" w:eastAsia="Times New Roman" w:hAnsi="Arial" w:cs="Arial"/>
          <w:lang w:eastAsia="sr-Latn-RS"/>
        </w:rPr>
        <w:t xml:space="preserve"> (</w:t>
      </w:r>
      <w:proofErr w:type="spellStart"/>
      <w:r w:rsidRPr="00C11B63">
        <w:rPr>
          <w:rFonts w:ascii="Arial" w:eastAsia="Times New Roman" w:hAnsi="Arial" w:cs="Arial"/>
          <w:lang w:eastAsia="sr-Latn-RS"/>
        </w:rPr>
        <w:t>Baharahova</w:t>
      </w:r>
      <w:proofErr w:type="spellEnd"/>
      <w:r w:rsidRPr="00C11B63">
        <w:rPr>
          <w:rFonts w:ascii="Arial" w:eastAsia="Times New Roman" w:hAnsi="Arial" w:cs="Arial"/>
          <w:lang w:eastAsia="sr-Latn-RS"/>
        </w:rPr>
        <w:t xml:space="preserve"> skala) pri čemu se određuje kom stepenu sa skale je zatamnjenje najbliže;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24) zatamnjenje dimnih gasova je stepen skale od šest polja različite crnine (</w:t>
      </w:r>
      <w:proofErr w:type="spellStart"/>
      <w:r w:rsidRPr="00C11B63">
        <w:rPr>
          <w:rFonts w:ascii="Arial" w:eastAsia="Times New Roman" w:hAnsi="Arial" w:cs="Arial"/>
          <w:lang w:eastAsia="sr-Latn-RS"/>
        </w:rPr>
        <w:t>Ringelmanova</w:t>
      </w:r>
      <w:proofErr w:type="spellEnd"/>
      <w:r w:rsidRPr="00C11B63">
        <w:rPr>
          <w:rFonts w:ascii="Arial" w:eastAsia="Times New Roman" w:hAnsi="Arial" w:cs="Arial"/>
          <w:lang w:eastAsia="sr-Latn-RS"/>
        </w:rPr>
        <w:t xml:space="preserve"> skala), od 0 do 5, pri čemu je svaki sledeći stepen 20% </w:t>
      </w:r>
      <w:proofErr w:type="spellStart"/>
      <w:r w:rsidRPr="00C11B63">
        <w:rPr>
          <w:rFonts w:ascii="Arial" w:eastAsia="Times New Roman" w:hAnsi="Arial" w:cs="Arial"/>
          <w:lang w:eastAsia="sr-Latn-RS"/>
        </w:rPr>
        <w:t>crnji</w:t>
      </w:r>
      <w:proofErr w:type="spellEnd"/>
      <w:r w:rsidRPr="00C11B63">
        <w:rPr>
          <w:rFonts w:ascii="Arial" w:eastAsia="Times New Roman" w:hAnsi="Arial" w:cs="Arial"/>
          <w:lang w:eastAsia="sr-Latn-RS"/>
        </w:rPr>
        <w:t xml:space="preserve"> od prethodnog. Pomoću skale vizuelno se ocenjuje zatamnjenje dimnih gasova iz postrojenja na čvrsta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25) emisioni parametri su </w:t>
      </w:r>
      <w:proofErr w:type="spellStart"/>
      <w:r w:rsidRPr="00C11B63">
        <w:rPr>
          <w:rFonts w:ascii="Arial" w:eastAsia="Times New Roman" w:hAnsi="Arial" w:cs="Arial"/>
          <w:lang w:eastAsia="sr-Latn-RS"/>
        </w:rPr>
        <w:t>masena</w:t>
      </w:r>
      <w:proofErr w:type="spellEnd"/>
      <w:r w:rsidRPr="00C11B63">
        <w:rPr>
          <w:rFonts w:ascii="Arial" w:eastAsia="Times New Roman" w:hAnsi="Arial" w:cs="Arial"/>
          <w:lang w:eastAsia="sr-Latn-RS"/>
        </w:rPr>
        <w:t xml:space="preserve"> koncentracija, </w:t>
      </w:r>
      <w:proofErr w:type="spellStart"/>
      <w:r w:rsidRPr="00C11B63">
        <w:rPr>
          <w:rFonts w:ascii="Arial" w:eastAsia="Times New Roman" w:hAnsi="Arial" w:cs="Arial"/>
          <w:lang w:eastAsia="sr-Latn-RS"/>
        </w:rPr>
        <w:t>maseni</w:t>
      </w:r>
      <w:proofErr w:type="spellEnd"/>
      <w:r w:rsidRPr="00C11B63">
        <w:rPr>
          <w:rFonts w:ascii="Arial" w:eastAsia="Times New Roman" w:hAnsi="Arial" w:cs="Arial"/>
          <w:lang w:eastAsia="sr-Latn-RS"/>
        </w:rPr>
        <w:t xml:space="preserve"> protok i emisioni faktor: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 xml:space="preserve">(1) </w:t>
      </w:r>
      <w:proofErr w:type="spellStart"/>
      <w:r w:rsidRPr="00C11B63">
        <w:rPr>
          <w:rFonts w:ascii="Arial" w:eastAsia="Times New Roman" w:hAnsi="Arial" w:cs="Arial"/>
          <w:lang w:eastAsia="sr-Latn-RS"/>
        </w:rPr>
        <w:t>masena</w:t>
      </w:r>
      <w:proofErr w:type="spellEnd"/>
      <w:r w:rsidRPr="00C11B63">
        <w:rPr>
          <w:rFonts w:ascii="Arial" w:eastAsia="Times New Roman" w:hAnsi="Arial" w:cs="Arial"/>
          <w:lang w:eastAsia="sr-Latn-RS"/>
        </w:rPr>
        <w:t xml:space="preserve"> koncentracija (izražena u jedinici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je masa emitovanih zagađujućih materija u odnosu na jedinicu zapremine u suvom otpadnom gasu na temperaturi 0°C (273,15 K) i pritisku 101,3 </w:t>
      </w:r>
      <w:proofErr w:type="spellStart"/>
      <w:r w:rsidRPr="00C11B63">
        <w:rPr>
          <w:rFonts w:ascii="Arial" w:eastAsia="Times New Roman" w:hAnsi="Arial" w:cs="Arial"/>
          <w:lang w:eastAsia="sr-Latn-RS"/>
        </w:rPr>
        <w:t>kPa</w:t>
      </w:r>
      <w:proofErr w:type="spellEnd"/>
      <w:r w:rsidRPr="00C11B63">
        <w:rPr>
          <w:rFonts w:ascii="Arial" w:eastAsia="Times New Roman" w:hAnsi="Arial" w:cs="Arial"/>
          <w:lang w:eastAsia="sr-Latn-RS"/>
        </w:rPr>
        <w:t xml:space="preserve"> pod propisanim zapreminskim </w:t>
      </w:r>
      <w:proofErr w:type="spellStart"/>
      <w:r w:rsidRPr="00C11B63">
        <w:rPr>
          <w:rFonts w:ascii="Arial" w:eastAsia="Times New Roman" w:hAnsi="Arial" w:cs="Arial"/>
          <w:lang w:eastAsia="sr-Latn-RS"/>
        </w:rPr>
        <w:t>udelom</w:t>
      </w:r>
      <w:proofErr w:type="spellEnd"/>
      <w:r w:rsidRPr="00C11B63">
        <w:rPr>
          <w:rFonts w:ascii="Arial" w:eastAsia="Times New Roman" w:hAnsi="Arial" w:cs="Arial"/>
          <w:lang w:eastAsia="sr-Latn-RS"/>
        </w:rPr>
        <w:t xml:space="preserve"> kiseonika u otpadnom gasu;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 xml:space="preserve">(2) </w:t>
      </w:r>
      <w:proofErr w:type="spellStart"/>
      <w:r w:rsidRPr="00C11B63">
        <w:rPr>
          <w:rFonts w:ascii="Arial" w:eastAsia="Times New Roman" w:hAnsi="Arial" w:cs="Arial"/>
          <w:lang w:eastAsia="sr-Latn-RS"/>
        </w:rPr>
        <w:t>maseni</w:t>
      </w:r>
      <w:proofErr w:type="spellEnd"/>
      <w:r w:rsidRPr="00C11B63">
        <w:rPr>
          <w:rFonts w:ascii="Arial" w:eastAsia="Times New Roman" w:hAnsi="Arial" w:cs="Arial"/>
          <w:lang w:eastAsia="sr-Latn-RS"/>
        </w:rPr>
        <w:t xml:space="preserve"> protok (izražen u jedinici kg/h) je masa zagađujućih materija ispuštena u vazduh u jedinici vremena; </w:t>
      </w:r>
    </w:p>
    <w:p w:rsidR="00C11B63" w:rsidRPr="00C11B63" w:rsidRDefault="00C11B63" w:rsidP="00C11B63">
      <w:pPr>
        <w:spacing w:before="100" w:beforeAutospacing="1" w:after="100" w:afterAutospacing="1" w:line="240" w:lineRule="auto"/>
        <w:ind w:left="992"/>
        <w:rPr>
          <w:rFonts w:ascii="Arial" w:eastAsia="Times New Roman" w:hAnsi="Arial" w:cs="Arial"/>
          <w:lang w:eastAsia="sr-Latn-RS"/>
        </w:rPr>
      </w:pPr>
      <w:r w:rsidRPr="00C11B63">
        <w:rPr>
          <w:rFonts w:ascii="Arial" w:eastAsia="Times New Roman" w:hAnsi="Arial" w:cs="Arial"/>
          <w:lang w:eastAsia="sr-Latn-RS"/>
        </w:rPr>
        <w:t>(3) emisioni faktor (izražen u jedinici kg/t ili u jedinici kg/</w:t>
      </w:r>
      <w:proofErr w:type="spellStart"/>
      <w:r w:rsidRPr="00C11B63">
        <w:rPr>
          <w:rFonts w:ascii="Arial" w:eastAsia="Times New Roman" w:hAnsi="Arial" w:cs="Arial"/>
          <w:lang w:eastAsia="sr-Latn-RS"/>
        </w:rPr>
        <w:t>MWh</w:t>
      </w:r>
      <w:proofErr w:type="spellEnd"/>
      <w:r w:rsidRPr="00C11B63">
        <w:rPr>
          <w:rFonts w:ascii="Arial" w:eastAsia="Times New Roman" w:hAnsi="Arial" w:cs="Arial"/>
          <w:lang w:eastAsia="sr-Latn-RS"/>
        </w:rPr>
        <w:t xml:space="preserve">) je masa ispuštenih zagađujućih materija u odnosu na masu proizvedenog produkta ili jedinicu proizvedene energije, tj. masa emitovane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po jedinici delatnosti (iskazane količinom proizvoda, iznosom (vrednošću) proizvedene energije, količinom potrošenog energenta ili sirovine ili veličinom obavljenog posla);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26) tečna goriva naftnog porekla propisana ovom uredbom su tečna goriva definisana u skladu sa propisom kojim se uređuju tehnički i drugi zahtevi koje moraju da ispunjavaju tečna goriva naftnog porekla koja se koriste kao energetska goriva koja se stavljaju u promet na tržište Republike Srbije;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27) nadležni organ je organ odgovoran za sprovođenje obaveza u okviru ovlašćenja utvrđenih ovom uredbom, i to: ministarstvo nadležno za poslove zaštite životne sredine, organ nadležan za poslove zaštite životne sredine autonomne pokrajine ili jedinice lokalne samouprave u skladu sa Zakonom o zaštiti vazduha (u daljem tekstu: nadležni organ).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7" w:name="clan_4"/>
      <w:bookmarkEnd w:id="7"/>
      <w:r w:rsidRPr="00C11B63">
        <w:rPr>
          <w:rFonts w:ascii="Arial" w:eastAsia="Times New Roman" w:hAnsi="Arial" w:cs="Arial"/>
          <w:b/>
          <w:bCs/>
          <w:sz w:val="24"/>
          <w:szCs w:val="24"/>
          <w:lang w:eastAsia="sr-Latn-RS"/>
        </w:rPr>
        <w:t xml:space="preserve">Član 4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Velika postrojenja za sagorevanje su postrojenja čija je ulazna </w:t>
      </w:r>
      <w:proofErr w:type="spellStart"/>
      <w:r w:rsidRPr="00C11B63">
        <w:rPr>
          <w:rFonts w:ascii="Arial" w:eastAsia="Times New Roman" w:hAnsi="Arial" w:cs="Arial"/>
          <w:lang w:eastAsia="sr-Latn-RS"/>
        </w:rPr>
        <w:t>instalisana</w:t>
      </w:r>
      <w:proofErr w:type="spellEnd"/>
      <w:r w:rsidRPr="00C11B63">
        <w:rPr>
          <w:rFonts w:ascii="Arial" w:eastAsia="Times New Roman" w:hAnsi="Arial" w:cs="Arial"/>
          <w:lang w:eastAsia="sr-Latn-RS"/>
        </w:rPr>
        <w:t xml:space="preserve"> toplotna snaga jednaka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ili veća (u daljem tekstu: velika postrojenja), nezavisno od vrste goriva koja se koriste (čvrsta, tečna ili gasovita).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Postrojenja za sagorevanje toplotne snage manje od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prema vrsti goriva koja koriste i ulaznoj </w:t>
      </w:r>
      <w:proofErr w:type="spellStart"/>
      <w:r w:rsidRPr="00C11B63">
        <w:rPr>
          <w:rFonts w:ascii="Arial" w:eastAsia="Times New Roman" w:hAnsi="Arial" w:cs="Arial"/>
          <w:lang w:eastAsia="sr-Latn-RS"/>
        </w:rPr>
        <w:t>instalisanoj</w:t>
      </w:r>
      <w:proofErr w:type="spellEnd"/>
      <w:r w:rsidRPr="00C11B63">
        <w:rPr>
          <w:rFonts w:ascii="Arial" w:eastAsia="Times New Roman" w:hAnsi="Arial" w:cs="Arial"/>
          <w:lang w:eastAsia="sr-Latn-RS"/>
        </w:rPr>
        <w:t xml:space="preserve"> toplotnoj snazi, dele se na mala postrojenja za sagorevanje i srednja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Mala postrojenja za sagorevanje (u daljem tekstu: mala postrojenja), su ona postrojenja koja proizvode toplotnu energiju za zagrevanje domaćinstava i grejanje sanitarne vode za domaćinstva i čija je toplotna snaga manja od: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1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pri korišćenju čvrstog goriva iz stava 5. tačka 1) ovog člana;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5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pri korišćenju tečnog goriva iz stava 5. tačka 2) ovog člana;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10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pri korišćenju gasovitog goriva iz stava 5. tačka 3) ovog člana.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Pod malim postrojenjima za sagorevanje podrazumevaju se 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postrojenja koja koriste čvrsto gorivo za kombinovanu proizvodnju toplotne i električne energije, pri čemu se tako dobijena toplota koristi za obavljanje tehnoloških procesa, posredno sušenje ili druge postupke prerade predmeta ili materijala, pod uslovom da je njihova toplotna snaga manja od 1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2) postrojenja koja koriste tečno ili gasovito gorivo za kombinovanu proizvodnju toplotne i električne energije, pri čemu se tako dobijena toplota koristi za grejanje domaćinstava i poslovnog prostora, grejanje sanitarne vode za domaćinstva i poslovni prostor, pod uslovom da njihova toplotna snaga ne prelazi vrednosti iz stava 3. ovog člana.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malim postrojenjima za sagorevanje koriste se sledeća navedena goriva, i to: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čvrsta goriva: drvo i drvni otpad nastao pri mehaničkom tretmanu drveta ako je sadržaj vlage u drvetu u odnosu na masu vlažnog drveta manji od 20%, osim ako se upotrebljava u postrojenjima koja su navedena od strane proizvođača kao pogodna za primenu goriva sa većim sadržajem vlage; briketi 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ugalj, </w:t>
      </w:r>
      <w:proofErr w:type="spellStart"/>
      <w:r w:rsidRPr="00C11B63">
        <w:rPr>
          <w:rFonts w:ascii="Arial" w:eastAsia="Times New Roman" w:hAnsi="Arial" w:cs="Arial"/>
          <w:lang w:eastAsia="sr-Latn-RS"/>
        </w:rPr>
        <w:t>koks</w:t>
      </w:r>
      <w:proofErr w:type="spellEnd"/>
      <w:r w:rsidRPr="00C11B63">
        <w:rPr>
          <w:rFonts w:ascii="Arial" w:eastAsia="Times New Roman" w:hAnsi="Arial" w:cs="Arial"/>
          <w:lang w:eastAsia="sr-Latn-RS"/>
        </w:rPr>
        <w:t xml:space="preserve"> i briketi od uglja sa sadržajem sumpora manjim od 1% mase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tečna goriva: gasno ulje ekstra lako EVRO EL, u skladu sa propisom kojim se uređuju tehnički i drugi zahtevi koje moraju da ispunjavaju tečna goriva naftnog porekla koja se koriste kao energetska goriva koja se stavljaju u promet na tržište Republike Srbije, koje je namenjeno za upotrebu kao gorivo za grejanje, kao i druge vrste tečnih goriva: metanol, </w:t>
      </w:r>
      <w:proofErr w:type="spellStart"/>
      <w:r w:rsidRPr="00C11B63">
        <w:rPr>
          <w:rFonts w:ascii="Arial" w:eastAsia="Times New Roman" w:hAnsi="Arial" w:cs="Arial"/>
          <w:lang w:eastAsia="sr-Latn-RS"/>
        </w:rPr>
        <w:t>etanol</w:t>
      </w:r>
      <w:proofErr w:type="spellEnd"/>
      <w:r w:rsidRPr="00C11B63">
        <w:rPr>
          <w:rFonts w:ascii="Arial" w:eastAsia="Times New Roman" w:hAnsi="Arial" w:cs="Arial"/>
          <w:lang w:eastAsia="sr-Latn-RS"/>
        </w:rPr>
        <w:t xml:space="preserve">, sirova biljna ulja, </w:t>
      </w:r>
      <w:proofErr w:type="spellStart"/>
      <w:r w:rsidRPr="00C11B63">
        <w:rPr>
          <w:rFonts w:ascii="Arial" w:eastAsia="Times New Roman" w:hAnsi="Arial" w:cs="Arial"/>
          <w:lang w:eastAsia="sr-Latn-RS"/>
        </w:rPr>
        <w:t>metilestar</w:t>
      </w:r>
      <w:proofErr w:type="spellEnd"/>
      <w:r w:rsidRPr="00C11B63">
        <w:rPr>
          <w:rFonts w:ascii="Arial" w:eastAsia="Times New Roman" w:hAnsi="Arial" w:cs="Arial"/>
          <w:lang w:eastAsia="sr-Latn-RS"/>
        </w:rPr>
        <w:t xml:space="preserve"> iz biljnih ulja, ukoliko emisija nije veća od granične vrednosti emisije propisane za mala postrojenja pri potrošnji gasnog ulja ekstra lako EVRO EL;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gasovita goriva: prirodni gas ili tečni naftni gas.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mala postrojenja za sagorevanje koja koriste drugo gasovito gorivo osim prirodnog gasa ili tečnog naftnog gasa primenjuju se granične vrednosti emisije propisane za srednja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Srednja postrojenja za sagorevanje (u daljem tekstu: srednja postrojenja), su postrojenja za sagorevanje u kojima se korišćenjem: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čvrstog goriva proizvodi toplotna energija i čija je toplotna snaga jednaka ili veća od 1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manja od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tečnog goriva proizvodi toplotna energija za zagrevanje domaćinstava i čija je toplotna snaga jednaka ili veća od 5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manja od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gasovitog goriva proizvodi toplotna energija za zagrevanje domaćinstava i čija je toplotna snaga jednaka ili veća od 10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manja od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4) tečnog ili gasovitog goriva proizvodi toplotna energija koja se koristi za obavljanje tehnoloških procesa, posredno sušenje ili druge postupke prerade predmeta ili materijala, proizvodnju električne energije, pod uslovom da je toplotna snaga jednaka ili veća od 4 </w:t>
      </w:r>
      <w:proofErr w:type="spellStart"/>
      <w:r w:rsidRPr="00C11B63">
        <w:rPr>
          <w:rFonts w:ascii="Arial" w:eastAsia="Times New Roman" w:hAnsi="Arial" w:cs="Arial"/>
          <w:lang w:eastAsia="sr-Latn-RS"/>
        </w:rPr>
        <w:t>kWth</w:t>
      </w:r>
      <w:proofErr w:type="spellEnd"/>
      <w:r w:rsidRPr="00C11B63">
        <w:rPr>
          <w:rFonts w:ascii="Arial" w:eastAsia="Times New Roman" w:hAnsi="Arial" w:cs="Arial"/>
          <w:lang w:eastAsia="sr-Latn-RS"/>
        </w:rPr>
        <w:t xml:space="preserve"> i manja od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Srednjim postrojenjima za sagorevanje smatraju se ona postrojenja toplotne snage manje od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koja koriste sledeća navedena goriva, i to: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čvrsta goriva: naftni </w:t>
      </w:r>
      <w:proofErr w:type="spellStart"/>
      <w:r w:rsidRPr="00C11B63">
        <w:rPr>
          <w:rFonts w:ascii="Arial" w:eastAsia="Times New Roman" w:hAnsi="Arial" w:cs="Arial"/>
          <w:lang w:eastAsia="sr-Latn-RS"/>
        </w:rPr>
        <w:t>koks</w:t>
      </w:r>
      <w:proofErr w:type="spellEnd"/>
      <w:r w:rsidRPr="00C11B63">
        <w:rPr>
          <w:rFonts w:ascii="Arial" w:eastAsia="Times New Roman" w:hAnsi="Arial" w:cs="Arial"/>
          <w:lang w:eastAsia="sr-Latn-RS"/>
        </w:rPr>
        <w:t xml:space="preserve">, ugalj, </w:t>
      </w:r>
      <w:proofErr w:type="spellStart"/>
      <w:r w:rsidRPr="00C11B63">
        <w:rPr>
          <w:rFonts w:ascii="Arial" w:eastAsia="Times New Roman" w:hAnsi="Arial" w:cs="Arial"/>
          <w:lang w:eastAsia="sr-Latn-RS"/>
        </w:rPr>
        <w:t>koks</w:t>
      </w:r>
      <w:proofErr w:type="spellEnd"/>
      <w:r w:rsidRPr="00C11B63">
        <w:rPr>
          <w:rFonts w:ascii="Arial" w:eastAsia="Times New Roman" w:hAnsi="Arial" w:cs="Arial"/>
          <w:lang w:eastAsia="sr-Latn-RS"/>
        </w:rPr>
        <w:t xml:space="preserve"> i briketi od uglja sa sadržajem sumpora većim od 1% mase goriva, biomasa, drvo i drvni otpad nastao pri mehaničkom tretmanu drveta ako je sadržaj vlage u drvetu u odnosu na masu vlažnog drveta 20% i veći, koji se upotrebljavaju u postrojenjima koje je proizvođač naveo kao pogodna za primenu goriva sa većim sadržajem vlage;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2) tečna goriva: ulje za loženje srednje EVRO S, ulje za loženje srednje S i ulje za loženje nisko sumporno gorivo - specijalno NSG-S u skladu sa propisom kojim se uređuju tehnički i drugi zahtevi koje moraju da ispunjavaju tečna goriva naftnog porekla koja se koriste kao energetska goriva koja se stavljaju u promet na tržište Republike Srbije i druge vrste tečnih goriva, kao što su: </w:t>
      </w:r>
      <w:proofErr w:type="spellStart"/>
      <w:r w:rsidRPr="00C11B63">
        <w:rPr>
          <w:rFonts w:ascii="Arial" w:eastAsia="Times New Roman" w:hAnsi="Arial" w:cs="Arial"/>
          <w:lang w:eastAsia="sr-Latn-RS"/>
        </w:rPr>
        <w:t>biogorivo</w:t>
      </w:r>
      <w:proofErr w:type="spellEnd"/>
      <w:r w:rsidRPr="00C11B63">
        <w:rPr>
          <w:rFonts w:ascii="Arial" w:eastAsia="Times New Roman" w:hAnsi="Arial" w:cs="Arial"/>
          <w:lang w:eastAsia="sr-Latn-RS"/>
        </w:rPr>
        <w:t xml:space="preserve"> iz biološke prerade otpada, kao i masti i ulja iz prehrambene industrije;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gasovita goriva: </w:t>
      </w:r>
      <w:proofErr w:type="spellStart"/>
      <w:r w:rsidRPr="00C11B63">
        <w:rPr>
          <w:rFonts w:ascii="Arial" w:eastAsia="Times New Roman" w:hAnsi="Arial" w:cs="Arial"/>
          <w:lang w:eastAsia="sr-Latn-RS"/>
        </w:rPr>
        <w:t>koksni</w:t>
      </w:r>
      <w:proofErr w:type="spellEnd"/>
      <w:r w:rsidRPr="00C11B63">
        <w:rPr>
          <w:rFonts w:ascii="Arial" w:eastAsia="Times New Roman" w:hAnsi="Arial" w:cs="Arial"/>
          <w:lang w:eastAsia="sr-Latn-RS"/>
        </w:rPr>
        <w:t xml:space="preserve"> gas, sintetski gas, </w:t>
      </w:r>
      <w:proofErr w:type="spellStart"/>
      <w:r w:rsidRPr="00C11B63">
        <w:rPr>
          <w:rFonts w:ascii="Arial" w:eastAsia="Times New Roman" w:hAnsi="Arial" w:cs="Arial"/>
          <w:lang w:eastAsia="sr-Latn-RS"/>
        </w:rPr>
        <w:t>rafinerijski</w:t>
      </w:r>
      <w:proofErr w:type="spellEnd"/>
      <w:r w:rsidRPr="00C11B63">
        <w:rPr>
          <w:rFonts w:ascii="Arial" w:eastAsia="Times New Roman" w:hAnsi="Arial" w:cs="Arial"/>
          <w:lang w:eastAsia="sr-Latn-RS"/>
        </w:rPr>
        <w:t xml:space="preserve"> gas, gas iz visokih peći, biogas, </w:t>
      </w:r>
      <w:proofErr w:type="spellStart"/>
      <w:r w:rsidRPr="00C11B63">
        <w:rPr>
          <w:rFonts w:ascii="Arial" w:eastAsia="Times New Roman" w:hAnsi="Arial" w:cs="Arial"/>
          <w:lang w:eastAsia="sr-Latn-RS"/>
        </w:rPr>
        <w:t>deponijski</w:t>
      </w:r>
      <w:proofErr w:type="spellEnd"/>
      <w:r w:rsidRPr="00C11B63">
        <w:rPr>
          <w:rFonts w:ascii="Arial" w:eastAsia="Times New Roman" w:hAnsi="Arial" w:cs="Arial"/>
          <w:lang w:eastAsia="sr-Latn-RS"/>
        </w:rPr>
        <w:t xml:space="preserve"> gas, gas iz tretmana otpadnih voda i </w:t>
      </w:r>
      <w:proofErr w:type="spellStart"/>
      <w:r w:rsidRPr="00C11B63">
        <w:rPr>
          <w:rFonts w:ascii="Arial" w:eastAsia="Times New Roman" w:hAnsi="Arial" w:cs="Arial"/>
          <w:lang w:eastAsia="sr-Latn-RS"/>
        </w:rPr>
        <w:t>kaptažni</w:t>
      </w:r>
      <w:proofErr w:type="spellEnd"/>
      <w:r w:rsidRPr="00C11B63">
        <w:rPr>
          <w:rFonts w:ascii="Arial" w:eastAsia="Times New Roman" w:hAnsi="Arial" w:cs="Arial"/>
          <w:lang w:eastAsia="sr-Latn-RS"/>
        </w:rPr>
        <w:t xml:space="preserve"> gas.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Merenja u toku probnog rada i pojedinačna merenja emisija zagađujućih materija ne vrše se na malim postrojenjima za sagorevanje toplotne snage manje ili jednake 8 </w:t>
      </w:r>
      <w:proofErr w:type="spellStart"/>
      <w:r w:rsidRPr="00C11B63">
        <w:rPr>
          <w:rFonts w:ascii="Arial" w:eastAsia="Times New Roman" w:hAnsi="Arial" w:cs="Arial"/>
          <w:lang w:eastAsia="sr-Latn-RS"/>
        </w:rPr>
        <w:t>kWth</w:t>
      </w:r>
      <w:proofErr w:type="spellEnd"/>
      <w:r w:rsidRPr="00C11B63">
        <w:rPr>
          <w:rFonts w:ascii="Arial" w:eastAsia="Times New Roman" w:hAnsi="Arial" w:cs="Arial"/>
          <w:lang w:eastAsia="sr-Latn-RS"/>
        </w:rPr>
        <w:t xml:space="preserve">, koja koriste tečna i gasovita goriva, odnosno toplotne snage manje ili jednake 50 </w:t>
      </w:r>
      <w:proofErr w:type="spellStart"/>
      <w:r w:rsidRPr="00C11B63">
        <w:rPr>
          <w:rFonts w:ascii="Arial" w:eastAsia="Times New Roman" w:hAnsi="Arial" w:cs="Arial"/>
          <w:lang w:eastAsia="sr-Latn-RS"/>
        </w:rPr>
        <w:t>kWth</w:t>
      </w:r>
      <w:proofErr w:type="spellEnd"/>
      <w:r w:rsidRPr="00C11B63">
        <w:rPr>
          <w:rFonts w:ascii="Arial" w:eastAsia="Times New Roman" w:hAnsi="Arial" w:cs="Arial"/>
          <w:lang w:eastAsia="sr-Latn-RS"/>
        </w:rPr>
        <w:t xml:space="preserve"> za postrojenja koja koriste čvrsta goriva. </w:t>
      </w:r>
    </w:p>
    <w:p w:rsidR="00C11B63" w:rsidRPr="00C11B63" w:rsidRDefault="00C11B63" w:rsidP="00C11B63">
      <w:pPr>
        <w:spacing w:after="0" w:line="240" w:lineRule="auto"/>
        <w:jc w:val="center"/>
        <w:rPr>
          <w:rFonts w:ascii="Arial" w:eastAsia="Times New Roman" w:hAnsi="Arial" w:cs="Arial"/>
          <w:sz w:val="31"/>
          <w:szCs w:val="31"/>
          <w:lang w:eastAsia="sr-Latn-RS"/>
        </w:rPr>
      </w:pPr>
      <w:bookmarkStart w:id="8" w:name="str_4"/>
      <w:bookmarkEnd w:id="8"/>
      <w:r w:rsidRPr="00C11B63">
        <w:rPr>
          <w:rFonts w:ascii="Arial" w:eastAsia="Times New Roman" w:hAnsi="Arial" w:cs="Arial"/>
          <w:sz w:val="31"/>
          <w:szCs w:val="31"/>
          <w:lang w:eastAsia="sr-Latn-RS"/>
        </w:rPr>
        <w:t xml:space="preserve">II VELIKA POSTROJENJA ZA SAGOREVANJE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9" w:name="str_5"/>
      <w:bookmarkEnd w:id="9"/>
      <w:r w:rsidRPr="00C11B63">
        <w:rPr>
          <w:rFonts w:ascii="Arial" w:eastAsia="Times New Roman" w:hAnsi="Arial" w:cs="Arial"/>
          <w:b/>
          <w:bCs/>
          <w:i/>
          <w:iCs/>
          <w:sz w:val="24"/>
          <w:szCs w:val="24"/>
          <w:lang w:eastAsia="sr-Latn-RS"/>
        </w:rPr>
        <w:t xml:space="preserve">Granična vrednost emisije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10" w:name="clan_5"/>
      <w:bookmarkEnd w:id="10"/>
      <w:r w:rsidRPr="00C11B63">
        <w:rPr>
          <w:rFonts w:ascii="Arial" w:eastAsia="Times New Roman" w:hAnsi="Arial" w:cs="Arial"/>
          <w:b/>
          <w:bCs/>
          <w:sz w:val="24"/>
          <w:szCs w:val="24"/>
          <w:lang w:eastAsia="sr-Latn-RS"/>
        </w:rPr>
        <w:t xml:space="preserve">Član 5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 stara velika postrojenja za sagorevanje primenjuju se granične vrednosti emisija zagađujućih materija iz Priloga 1. pod A) - Granične vrednosti emisija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okside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praškaste materije i ugljen monoksid (CO) za stara velika postrojenja za sagorevanje, koji je odštampan uz ovu uredbu i čini njen sastavni deo.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Izuzetno od stava 1. ovog člana, stara velika postrojenja za sagorevanje ne moraju da se usaglašavaju sa pojedinačnim graničnim vrednostima emisija zagađujućih materija iz Priloga 1. pod A), počev od dana stupanja na snagu ove uredbe, pod uslovom da su obuhvaćena preliminarnom prijavom za Nacionalni plan za smanjenje emisija iz starih velikih postrojenja za sagorevanje iz člana 8.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 postojeća velika postrojenja za sagorevanje primenjuju se granične vrednosti emisija zagađujućih materija iz Priloga 1. pod B) - Granične vrednosti emisija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okside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praškaste materije i ugljen monoksid (CO) za postojeća velika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 nova velika postrojenja za sagorevanje primenjuju se granične vrednosti emisija zagađujućih materija iz Priloga 1. pod V) - Granične vrednosti emisija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okside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praškaste materije i ugljen monoksid (CO) za nova velika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Ministar nadležan za poslove zaštite životne sredine bliže propisuje kriterijume za definisanje pokretanja i zaustavljanja velikog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stara velika postrojenja za sagorevanje koja rade manje od 100 radnih časova godišnje ne primenjuju se odredbe ove uredbe.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11" w:name="str_6"/>
      <w:bookmarkEnd w:id="11"/>
      <w:r w:rsidRPr="00C11B63">
        <w:rPr>
          <w:rFonts w:ascii="Arial" w:eastAsia="Times New Roman" w:hAnsi="Arial" w:cs="Arial"/>
          <w:b/>
          <w:bCs/>
          <w:i/>
          <w:iCs/>
          <w:sz w:val="24"/>
          <w:szCs w:val="24"/>
          <w:lang w:eastAsia="sr-Latn-RS"/>
        </w:rPr>
        <w:t xml:space="preserve">Izuzeće zbog ograničenog veka trajanja postrojenja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12" w:name="clan_6"/>
      <w:bookmarkEnd w:id="12"/>
      <w:r w:rsidRPr="00C11B63">
        <w:rPr>
          <w:rFonts w:ascii="Arial" w:eastAsia="Times New Roman" w:hAnsi="Arial" w:cs="Arial"/>
          <w:b/>
          <w:bCs/>
          <w:sz w:val="24"/>
          <w:szCs w:val="24"/>
          <w:lang w:eastAsia="sr-Latn-RS"/>
        </w:rPr>
        <w:t xml:space="preserve">Član 6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Stara velika postrojenja za sagorevanje nadležni organ može izuzeti od primene graničnih vrednosti emisija zagađujućih materija iz člana 5. ove uredbe i obaveza utvrđenih Nacionalnim planom za smanjenje emisija iz starih velikih postrojenja za sagorevanje pod sledećim uslovima: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da operater starog velikog postrojenja najkasnije do 30. juna 2016. godine dostavi nadležnom organu preliminarnu pisanu izjavu potpisanu i overenu od strane odgovornog lica da postrojenje u periodu od 1. januara 2018. godine do 31. decembra 2023. godine neće raditi više od ukupno 20 000 radnih časova, a konačnu pisanu izjavu potpisanu i overenu od strane odgovornog lica, sa listom postrojenja, koja može sadržati samo ona postrojenja koja su prethodno bila prijavljena u preliminarnoj pisanoj izjavi, operater je dužan da dostavi najkasnije do 1. juna 2017.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da operater svake godine, najkasnije do 31. januara tekuće godine za prethodnu kalendarsku godinu, dostavi Agenciji za zaštitu životne sredine (u daljem tekstu: Agencija) izveštaj o utrošenom i neutrošenom vremenu koji je namenjen za preostali radni vek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Ako u periodu od 1. januara 2018. godine do 31. decembra 2023. godine postrojenje za sagorevanje utroši 20 000 radnih časova, a nastavi sa radom posle 1. januara 2024. godine, emisije u tom slučaju moraju biti u skladu sa propisanim graničnim vrednostima emisija iz Priloga 1. pod V) ove uredbe.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13" w:name="clan_7"/>
      <w:bookmarkEnd w:id="13"/>
      <w:r w:rsidRPr="00C11B63">
        <w:rPr>
          <w:rFonts w:ascii="Arial" w:eastAsia="Times New Roman" w:hAnsi="Arial" w:cs="Arial"/>
          <w:b/>
          <w:bCs/>
          <w:sz w:val="24"/>
          <w:szCs w:val="24"/>
          <w:lang w:eastAsia="sr-Latn-RS"/>
        </w:rPr>
        <w:t xml:space="preserve">Član 7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integrisanoj dozvoli za veliko postrojenje za sagorevanje nadležni organ može da propiše niže, odnosno strožije granične vrednosti emisija zagađujućih materija od onih koje su propisane u čl. 5. i 19. ove uredbe kao i rokove za njihovo postizanje.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Integrisanom dozvolom nadležni organ može da propiše granične vrednosti emisija i za druge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i rokove za njihovo postizanje, pored onih koje su propisane u Prilogu 1. ove uredbe i utvrdi dodatne zahteve ili izmene na velikom postrojenju za sagorevanje u skladu sa tehničkim razvojem.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14" w:name="str_7"/>
      <w:bookmarkEnd w:id="14"/>
      <w:r w:rsidRPr="00C11B63">
        <w:rPr>
          <w:rFonts w:ascii="Arial" w:eastAsia="Times New Roman" w:hAnsi="Arial" w:cs="Arial"/>
          <w:b/>
          <w:bCs/>
          <w:i/>
          <w:iCs/>
          <w:sz w:val="24"/>
          <w:szCs w:val="24"/>
          <w:lang w:eastAsia="sr-Latn-RS"/>
        </w:rPr>
        <w:t xml:space="preserve">Nacionalni plan za smanjenje emisija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15" w:name="clan_8"/>
      <w:bookmarkEnd w:id="15"/>
      <w:r w:rsidRPr="00C11B63">
        <w:rPr>
          <w:rFonts w:ascii="Arial" w:eastAsia="Times New Roman" w:hAnsi="Arial" w:cs="Arial"/>
          <w:b/>
          <w:bCs/>
          <w:sz w:val="24"/>
          <w:szCs w:val="24"/>
          <w:lang w:eastAsia="sr-Latn-RS"/>
        </w:rPr>
        <w:t xml:space="preserve">Član 8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Nacionalni plan za smanjenje emisija iz starih velikih postrojenja za sagorevanje (u daljem tekstu: Nacionalni plan za smanjenje emisija), mora se pripremiti i sprovoditi na način da se poštuju granične vrednosti emisija iz Priloga 1. - Granične vrednosti emisija za velika postrojenja za sagorevanje, koji je odštampan uz ovu uredbu i čini njen sastavni deo.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U cilju donošenja Nacionalnog plana za smanjenje emisija utvrđuju se maksimalne emisije zagađujućih materija,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okside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i praškaste materije, iz starih velikih postrojenja za 2012. godinu, kao referentnu godinu, procenat smanjenja i rokovi za postizanje utvrđenih procenata smanjenja.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Sprovođenjem Nacionalnog plana za smanjenje emisija umanjiće se ukupne godišnje emisije sumpor dioksida, oksida azota i praškastih materija na nivo koji bi se postigli kada bi se primenile granične vrednosti emisija utvrđene u skladu sa ovom uredbom.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Umanjenje iz stava 3. ovog člana određuje se na osnovu godišnjih planova rada postrojenja za sagorevanje, korišćenog goriva i toplotne snage, </w:t>
      </w:r>
      <w:proofErr w:type="spellStart"/>
      <w:r w:rsidRPr="00C11B63">
        <w:rPr>
          <w:rFonts w:ascii="Arial" w:eastAsia="Times New Roman" w:hAnsi="Arial" w:cs="Arial"/>
          <w:lang w:eastAsia="sr-Latn-RS"/>
        </w:rPr>
        <w:t>uprosečenih</w:t>
      </w:r>
      <w:proofErr w:type="spellEnd"/>
      <w:r w:rsidRPr="00C11B63">
        <w:rPr>
          <w:rFonts w:ascii="Arial" w:eastAsia="Times New Roman" w:hAnsi="Arial" w:cs="Arial"/>
          <w:lang w:eastAsia="sr-Latn-RS"/>
        </w:rPr>
        <w:t xml:space="preserve"> za poslednjih pet godina rada, u skladu sa obavezama preuzetim iz Zakona o ratifikaciji Ugovora o osnivanju Energetske zajednice između Evropske zajednice i Republike Albanije, Republike Bugarske, Bosne i Hercegovine, Republike Hrvatske, Bivše Jugoslovenske Republike Makedonije, Republike Crne Gore, Rumunije, Republike Srbije i Privremene Misije Ujedinjenih nacija na Kosovu u skladu sa Rezolucijom 1244 Saveta bezbednosti Ujedinjenih nacija ("Službeni glasnik RS", broj 62/06).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Ukupne godišnje emisije sumpor dioksida, oksida azota i praškastih materija iz velikih postrojenja za sagorevanje određuju se u skladu sa Prilogom 4 - Utvrđivanje ukupnih godišnjih emisija, koji je odštampan uz ovu uredbu i čini njen sastavni deo.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Zatvaranje postrojenja za sagorevanje uključenog u Nacionalni plan za smanjenje emisija ne može dovesti do povećanja ukupnih godišnjih emisija iz preostalih postrojenja obuhvaćenih planom.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Nacionalnim planom za smanjenje emisija iz stava 1. ovog člana pojedina postrojenja ne mogu biti izuzeta od primene propisa o zaštiti životne sredine, a posebno od primene propisa o integrisanom sprečavanju i kontroli zagađivanja životne sredine.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Nacionalni plan za smanjenje emisija primenjuje se za period od 1. januara 2018. godine do najkasnije 31. decembra 2027.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Konačnu pisanu izjavu potpisanu i overenu od strane odgovornog lica sa prijavom za Nacionalni plan za smanjenje emisija, koja sadrži konačnu listu postrojenja koja će biti obuhvaćena Nacionalnim planom za smanjenje emisija, a koja može sadržati samo ona postrojenja koja su bila prethodno prijavljena u preliminarnoj prijavi za Nacionalni plan za smanjenje emisija, operater je dužan da dostavi nadležnom organu najkasnije do 1. juna 2017.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cilju ocene sprovođenja Nacionalnog plana za smanjenje emisija iz stava 1. ovog člana, operater je dužan da dostavlja godišnji izveštaj koji pored realnih, tj. ostvarenih emisija zagađujućih materija u vazduh obuhvata i projekcije emisija zagađujućih materija, uzimajući u obzir projekte u toku, odnosno projekte za koja su obezbeđena finansijska sredstva i definisan plan realizacije projekta.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Ministar bliže propisuje mehanizam primene Nacionalnog plana za smanjenje emisija.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16" w:name="clan_9"/>
      <w:bookmarkEnd w:id="16"/>
      <w:r w:rsidRPr="00C11B63">
        <w:rPr>
          <w:rFonts w:ascii="Arial" w:eastAsia="Times New Roman" w:hAnsi="Arial" w:cs="Arial"/>
          <w:b/>
          <w:bCs/>
          <w:sz w:val="24"/>
          <w:szCs w:val="24"/>
          <w:lang w:eastAsia="sr-Latn-RS"/>
        </w:rPr>
        <w:t xml:space="preserve">Član 9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Maksimalne emisije za 2018. godinu računaju se na osnovu graničnih vrednosti emisija iz Priloga 1. pod A) deo I. </w:t>
      </w:r>
      <w:proofErr w:type="spellStart"/>
      <w:r w:rsidRPr="00C11B63">
        <w:rPr>
          <w:rFonts w:ascii="Arial" w:eastAsia="Times New Roman" w:hAnsi="Arial" w:cs="Arial"/>
          <w:lang w:eastAsia="sr-Latn-RS"/>
        </w:rPr>
        <w:t>tač</w:t>
      </w:r>
      <w:proofErr w:type="spellEnd"/>
      <w:r w:rsidRPr="00C11B63">
        <w:rPr>
          <w:rFonts w:ascii="Arial" w:eastAsia="Times New Roman" w:hAnsi="Arial" w:cs="Arial"/>
          <w:lang w:eastAsia="sr-Latn-RS"/>
        </w:rPr>
        <w:t>. 1, 2. i 3, deo II. i deo III. ili gde je to moguće za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na osnovu stepena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iz Priloga 1. pod A) deo I. tačka 1. ove uredbe. U slučaju gasnih turbina, primenjuju se granične vrednosti emisije oksida azota propisane za takva postrojenja u Prilogu 1. pod B)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Maksimalne emisije za 2023. godinu računaju se na osnovu primenjivih graničnih vrednosti emisija u toj godini iz Priloga 1. pod A) deo I </w:t>
      </w:r>
      <w:proofErr w:type="spellStart"/>
      <w:r w:rsidRPr="00C11B63">
        <w:rPr>
          <w:rFonts w:ascii="Arial" w:eastAsia="Times New Roman" w:hAnsi="Arial" w:cs="Arial"/>
          <w:lang w:eastAsia="sr-Latn-RS"/>
        </w:rPr>
        <w:t>tač</w:t>
      </w:r>
      <w:proofErr w:type="spellEnd"/>
      <w:r w:rsidRPr="00C11B63">
        <w:rPr>
          <w:rFonts w:ascii="Arial" w:eastAsia="Times New Roman" w:hAnsi="Arial" w:cs="Arial"/>
          <w:lang w:eastAsia="sr-Latn-RS"/>
        </w:rPr>
        <w:t>. 1, 2. i 3, deo II. i deo III. ili gde je to moguće za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na osnovu stepena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iz Priloga 1. pod A) deo I. tačka 1. ove uredbe. U slučaju gasnih turbina, primenjuju se granične vrednosti emisije oksida azota propisane za takva postrojenja u Prilogu 1. pod B)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Maksimalne emisije za period 2019-2022. godine određuju se prateći linearan trend između maksimalnih emisija iz 2018. godine i 2023.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Maksimalne emisije za 2026. godinu i 2027. godinu računaju se na osnovu primenjivih graničnih vrednosti emisija iz Priloga 1. pod B) ili gde je to moguće za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na osnovu stepena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iz Priloga 1. pod G) - Najmanji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Maksimalne emisije za 2024. godinu i 2025. godinu određuju se prateći linearno smanjenje maksimalnih emisija između 2023. godine i 2026. godine.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17" w:name="clan_10"/>
      <w:bookmarkEnd w:id="17"/>
      <w:r w:rsidRPr="00C11B63">
        <w:rPr>
          <w:rFonts w:ascii="Arial" w:eastAsia="Times New Roman" w:hAnsi="Arial" w:cs="Arial"/>
          <w:b/>
          <w:bCs/>
          <w:sz w:val="24"/>
          <w:szCs w:val="24"/>
          <w:lang w:eastAsia="sr-Latn-RS"/>
        </w:rPr>
        <w:t xml:space="preserve">Član 10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Izuzetno od Priloga 1. pod A) deo I. tačka 1. ove uredbe, za stara velika postrojenja toplotne snage jednake 400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ili veće, koja u kalendarskoj godini ne rade više od navedenog broja časova (operativni prosek u petogodišnjem periodu):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2000 časova do 31. decembra 2023.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1500 časova od 1. januara 2024.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primenjuje se granična vrednost emisije za sumpor dioksid od 800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pod uslovom da operater ovakvog postrojenja dostavi nadležnom organu pisanu izjavu potpisanu i overenu od strane odgovornog lica da će postrojenje da radi pod uslovima propisanim ovim stavom.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Odredba iz stava 1. ovog člana ne primenjuje se na postojeća i nova velika postrojenja za sagorevanje.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18" w:name="str_8"/>
      <w:bookmarkEnd w:id="18"/>
      <w:r w:rsidRPr="00C11B63">
        <w:rPr>
          <w:rFonts w:ascii="Arial" w:eastAsia="Times New Roman" w:hAnsi="Arial" w:cs="Arial"/>
          <w:b/>
          <w:bCs/>
          <w:i/>
          <w:iCs/>
          <w:sz w:val="24"/>
          <w:szCs w:val="24"/>
          <w:lang w:eastAsia="sr-Latn-RS"/>
        </w:rPr>
        <w:t xml:space="preserve">Kvar ili prekid u radu uređaja za smanjenje emisije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19" w:name="clan_11"/>
      <w:bookmarkEnd w:id="19"/>
      <w:r w:rsidRPr="00C11B63">
        <w:rPr>
          <w:rFonts w:ascii="Arial" w:eastAsia="Times New Roman" w:hAnsi="Arial" w:cs="Arial"/>
          <w:b/>
          <w:bCs/>
          <w:sz w:val="24"/>
          <w:szCs w:val="24"/>
          <w:lang w:eastAsia="sr-Latn-RS"/>
        </w:rPr>
        <w:t xml:space="preserve">Član 11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prekida rada uređaja za smanjenje emisije u vazduh iz velikog postrojenja, ako se vraćanje uređaja u normalan rad ne postigne u roku od 24 časa od prekida njegovog rada, operater je dužan da smanji ili zaustavi rad postrojenja ili da koristi gorivo koje u manjem stepenu zagađuje vazduh.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prekida rada uređaja za smanjenje emisije iz stava 1. ovog člana operater je dužan da obavesti nadležni organ u roku od 48 časova od trenutka prekida rada uređaja za smanjenje emisije.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Postrojenje za sagorevanje prestaje sa radom ukoliko uređaj za smanjenje emisija u otpadnom gasu ne radi više od ukupno 120 časova u jednoj kalendarskoj godini.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Stavovi 1, 2. i 3. ovog člana ne primenjuju se tokom pokretanja velikog postrojenja u slučaju kada zbog tehničkih razloga nije moguć ili je smanjen rad uređaja za smanjenje emisije.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0" w:name="clan_12"/>
      <w:bookmarkEnd w:id="20"/>
      <w:r w:rsidRPr="00C11B63">
        <w:rPr>
          <w:rFonts w:ascii="Arial" w:eastAsia="Times New Roman" w:hAnsi="Arial" w:cs="Arial"/>
          <w:b/>
          <w:bCs/>
          <w:sz w:val="24"/>
          <w:szCs w:val="24"/>
          <w:lang w:eastAsia="sr-Latn-RS"/>
        </w:rPr>
        <w:t xml:space="preserve">Član 12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Izuzetno od člana 11. st. 1. i 3. ove uredbe nadležni organ može dozvoliti odstupanje u slučajevima: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kada postoji prioritetna potreba za održavanjem snabdevanja energijom;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2) kada bi postrojenje za sagorevanje sa prekidom u radu uređaja za smanjenje emisija u ograničenom periodu bilo zamenjeno drugim postrojenjem koje bi izazvalo ukupno povećanje emisija.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1" w:name="clan_13"/>
      <w:bookmarkEnd w:id="21"/>
      <w:r w:rsidRPr="00C11B63">
        <w:rPr>
          <w:rFonts w:ascii="Arial" w:eastAsia="Times New Roman" w:hAnsi="Arial" w:cs="Arial"/>
          <w:b/>
          <w:bCs/>
          <w:sz w:val="24"/>
          <w:szCs w:val="24"/>
          <w:lang w:eastAsia="sr-Latn-RS"/>
        </w:rPr>
        <w:t xml:space="preserve">Član 13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Nadležni organ može da odobri prekoračenje propisanih graničnih vrednosti emisije za sumpor dioksid u periodu od najviše šest meseci u toku kalendarske godine iz velikog postrojenja za sagorevanje, koje obično koristi tečno gorivo sa niskim sadržajem sumpora, ako operater ne može da zadovolji propisane granične vrednosti emisije zbog prekida u snabdevanju gorivom usled velike nestašice na tržištu i samo dok postoji prioritetna potreba za snabdevanje toplotnom i električnom energijom.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 stava 1. ovog člana, nadležni organ može da odobri prekoračenje propisanih graničnih vrednosti emisije za sumpor dioksid pod uslovom da su u periodu pre prekida u snabdevanju tečnim gorivom sa niskim sadržajem sumpora emisije sumpor dioksida iz velikog postrojenja za sagorevanje bile manje od graničnih vrednosti emisija propisanih ovom uredbom.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Zahtev za izdavanje odobrenja iz stava 1. ovog člana mora da sadrži izveštaj ovlašćenog pravnog lica o merenju emisije koji je izvršen pre prekida u snabdevanju </w:t>
      </w:r>
      <w:proofErr w:type="spellStart"/>
      <w:r w:rsidRPr="00C11B63">
        <w:rPr>
          <w:rFonts w:ascii="Arial" w:eastAsia="Times New Roman" w:hAnsi="Arial" w:cs="Arial"/>
          <w:lang w:eastAsia="sr-Latn-RS"/>
        </w:rPr>
        <w:t>niskosumpornim</w:t>
      </w:r>
      <w:proofErr w:type="spellEnd"/>
      <w:r w:rsidRPr="00C11B63">
        <w:rPr>
          <w:rFonts w:ascii="Arial" w:eastAsia="Times New Roman" w:hAnsi="Arial" w:cs="Arial"/>
          <w:lang w:eastAsia="sr-Latn-RS"/>
        </w:rPr>
        <w:t xml:space="preserve"> gorivom prema čijim rezultatima merenja, u uslovima merenja pri potrošnji </w:t>
      </w:r>
      <w:proofErr w:type="spellStart"/>
      <w:r w:rsidRPr="00C11B63">
        <w:rPr>
          <w:rFonts w:ascii="Arial" w:eastAsia="Times New Roman" w:hAnsi="Arial" w:cs="Arial"/>
          <w:lang w:eastAsia="sr-Latn-RS"/>
        </w:rPr>
        <w:t>niskosumpornog</w:t>
      </w:r>
      <w:proofErr w:type="spellEnd"/>
      <w:r w:rsidRPr="00C11B63">
        <w:rPr>
          <w:rFonts w:ascii="Arial" w:eastAsia="Times New Roman" w:hAnsi="Arial" w:cs="Arial"/>
          <w:lang w:eastAsia="sr-Latn-RS"/>
        </w:rPr>
        <w:t xml:space="preserve"> goriva, ne postoji prekoračenje graničnih vrednosti emisija za sumpor dioksid propisanih ovom uredbom.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iznenadnog poremećaja u snabdevanju gasom nadležni organ može da odobri prekoračenje od propisanih graničnih vrednosti emisija iz velikog postrojenja za sagorevanje koje koristi samo gasovito gorivo, a koje bi za korišćenje drugih goriva trebalo da bude opremljeno uređajima za prečišćavanje otpadnih gasova, na način da se operateru tog postrojenja dozvoli korišćenje drugih goriva, zbog iznenadnog poremećaja u snabdevanju gasom, u periodu od najviše deset dana ili duže, u slučaju da postoji prioritetna potreba snabdevanja energijom, dok god se taj poremećaj ne otkloni i uspostavi normalno snabdevanje gasovitim gorivom.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 slučaju iz st. 1. i 3. ovog člana operater je dužan da obavesti nadležni organ u roku od 24 časa od dobijanja informacije da postoji poremećaj u snabdevanju gorivom sa niskim sadržajem sumpora, odnosno gasom.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22" w:name="str_9"/>
      <w:bookmarkEnd w:id="22"/>
      <w:r w:rsidRPr="00C11B63">
        <w:rPr>
          <w:rFonts w:ascii="Arial" w:eastAsia="Times New Roman" w:hAnsi="Arial" w:cs="Arial"/>
          <w:b/>
          <w:bCs/>
          <w:i/>
          <w:iCs/>
          <w:sz w:val="24"/>
          <w:szCs w:val="24"/>
          <w:lang w:eastAsia="sr-Latn-RS"/>
        </w:rPr>
        <w:t xml:space="preserve">Velika postrojenja koja koriste dve ili više vrsta goriva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3" w:name="clan_14"/>
      <w:bookmarkEnd w:id="23"/>
      <w:r w:rsidRPr="00C11B63">
        <w:rPr>
          <w:rFonts w:ascii="Arial" w:eastAsia="Times New Roman" w:hAnsi="Arial" w:cs="Arial"/>
          <w:b/>
          <w:bCs/>
          <w:sz w:val="24"/>
          <w:szCs w:val="24"/>
          <w:lang w:eastAsia="sr-Latn-RS"/>
        </w:rPr>
        <w:t xml:space="preserve">Član 14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Kod starih velikih postrojenja i postojećih velikih postrojenja koja istovremeno koriste dve ili više vrsta goriva ili kod povećanja kapaciteta postrojenja iz člana 19. ove uredbe, u postupku izdavanja integrisane dozvole nadležni organ utvrđuje granične vrednosti emisija prema sledećem redosledu, i to: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uzimanjem granične vrednosti emisije posebno za svako gorivo i svaku </w:t>
      </w:r>
      <w:proofErr w:type="spellStart"/>
      <w:r w:rsidRPr="00C11B63">
        <w:rPr>
          <w:rFonts w:ascii="Arial" w:eastAsia="Times New Roman" w:hAnsi="Arial" w:cs="Arial"/>
          <w:lang w:eastAsia="sr-Latn-RS"/>
        </w:rPr>
        <w:t>zagađujuću</w:t>
      </w:r>
      <w:proofErr w:type="spellEnd"/>
      <w:r w:rsidRPr="00C11B63">
        <w:rPr>
          <w:rFonts w:ascii="Arial" w:eastAsia="Times New Roman" w:hAnsi="Arial" w:cs="Arial"/>
          <w:lang w:eastAsia="sr-Latn-RS"/>
        </w:rPr>
        <w:t xml:space="preserve"> materiju, koje odgovaraju određenoj toplotnoj snazi i starosti velikog postrojenja, u skladu sa Prilogom 1.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određivanjem granične vrednosti emisija na osnovu toplotnih udela, koji se dobijaju množenjem pojedinačne granične vrednosti emisije iz tačke 1) ovog stava sa toplotnom </w:t>
      </w:r>
      <w:r w:rsidRPr="00C11B63">
        <w:rPr>
          <w:rFonts w:ascii="Arial" w:eastAsia="Times New Roman" w:hAnsi="Arial" w:cs="Arial"/>
          <w:lang w:eastAsia="sr-Latn-RS"/>
        </w:rPr>
        <w:lastRenderedPageBreak/>
        <w:t xml:space="preserve">snagom koju proizvodi svako gorivo, pa se tako dobijeni rezultat podeli zbirom toplotnih snaga koje proizvode sva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sabiranjem svih graničnih vrednosti dobijenih na način utvrđen u tački 2) ovog stava.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Do izdavanja integrisane dozvole za veliko postrojenje iz stava 1. ovog člana, granične vrednosti emisija izračunava pravno lice ovlašćeno za merenje emisije na način propisan u stavu 1. ovog člana za svaki konkretan slučaj.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4" w:name="clan_15"/>
      <w:bookmarkEnd w:id="24"/>
      <w:r w:rsidRPr="00C11B63">
        <w:rPr>
          <w:rFonts w:ascii="Arial" w:eastAsia="Times New Roman" w:hAnsi="Arial" w:cs="Arial"/>
          <w:b/>
          <w:bCs/>
          <w:sz w:val="24"/>
          <w:szCs w:val="24"/>
          <w:lang w:eastAsia="sr-Latn-RS"/>
        </w:rPr>
        <w:t xml:space="preserve">Član 15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Kod starih velikih postrojenja i postojećih velikih postrojenja za sagorevanje u kojima se za sopstvenu potrošnju u rafineriji istovremeno koristi više vrsta goriva, od kojih su neka ostaci iz procesa destilacije ili procesa prerade sirove nafte, samostalno ili u smeši sa drugim gorivima, primenjuju se odredbe propisane za gorivo sa najvećim graničnim vrednostima emisija (određujuće gorivo), nezavisno od odredbe iz člana 14. stav 1. ove uredbe, ako u toku rada tog postrojenja, udeo toplotne snage </w:t>
      </w:r>
      <w:proofErr w:type="spellStart"/>
      <w:r w:rsidRPr="00C11B63">
        <w:rPr>
          <w:rFonts w:ascii="Arial" w:eastAsia="Times New Roman" w:hAnsi="Arial" w:cs="Arial"/>
          <w:lang w:eastAsia="sr-Latn-RS"/>
        </w:rPr>
        <w:t>određujućeg</w:t>
      </w:r>
      <w:proofErr w:type="spellEnd"/>
      <w:r w:rsidRPr="00C11B63">
        <w:rPr>
          <w:rFonts w:ascii="Arial" w:eastAsia="Times New Roman" w:hAnsi="Arial" w:cs="Arial"/>
          <w:lang w:eastAsia="sr-Latn-RS"/>
        </w:rPr>
        <w:t xml:space="preserve"> goriva, u zbiru toplotnih snaga dobijenih iz svih goriva iznosi najmanje 50%.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Ako je udeo toplotne snage </w:t>
      </w:r>
      <w:proofErr w:type="spellStart"/>
      <w:r w:rsidRPr="00C11B63">
        <w:rPr>
          <w:rFonts w:ascii="Arial" w:eastAsia="Times New Roman" w:hAnsi="Arial" w:cs="Arial"/>
          <w:lang w:eastAsia="sr-Latn-RS"/>
        </w:rPr>
        <w:t>određujućeg</w:t>
      </w:r>
      <w:proofErr w:type="spellEnd"/>
      <w:r w:rsidRPr="00C11B63">
        <w:rPr>
          <w:rFonts w:ascii="Arial" w:eastAsia="Times New Roman" w:hAnsi="Arial" w:cs="Arial"/>
          <w:lang w:eastAsia="sr-Latn-RS"/>
        </w:rPr>
        <w:t xml:space="preserve"> goriva manji od 50%, granična vrednost emisije izračunava se na osnovu doprinosa toplotnoj snazi svih pojedinačnih goriva u odnosu na zbir toplotnih snaga koje proizvode sva goriva, prema sledećem redosledu, i to: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uzimanjem granične vrednosti emisije posebno za svako gorivo i svaku </w:t>
      </w:r>
      <w:proofErr w:type="spellStart"/>
      <w:r w:rsidRPr="00C11B63">
        <w:rPr>
          <w:rFonts w:ascii="Arial" w:eastAsia="Times New Roman" w:hAnsi="Arial" w:cs="Arial"/>
          <w:lang w:eastAsia="sr-Latn-RS"/>
        </w:rPr>
        <w:t>zagađujuću</w:t>
      </w:r>
      <w:proofErr w:type="spellEnd"/>
      <w:r w:rsidRPr="00C11B63">
        <w:rPr>
          <w:rFonts w:ascii="Arial" w:eastAsia="Times New Roman" w:hAnsi="Arial" w:cs="Arial"/>
          <w:lang w:eastAsia="sr-Latn-RS"/>
        </w:rPr>
        <w:t xml:space="preserve"> materiju, koje odgovaraju određenoj toplotnoj snazi velikog postrojenja, u skladu sa Prilogom 1.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izračunavanjem granične vrednosti emisije za određujuće gorivo (gorivo sa najvećom graničnom vrednošću emisije u skladu sa Prilogom 1. ove uredbe, a u slučaju da dva goriva imaju iste granične vrednosti emisije, gorivo koje ima veću toplotnu snagu). Ova vrednost dobija se množenjem granične vrednosti emisije navedene u Prilogu 1. ove uredbe za to gorivo sa faktorom 2 i umanjivanjem dobijenog rezultata za graničnu vrednost emisije goriva sa najnižom graničnom vrednošću emisije;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3) određivanjem graničnih vrednosti emisija na osnovu toplotnih udela, koje se dobijaju množenjem izračunate granične vrednosti emisije sa toplotnom snagom za određujuće gorivo i ostalih graničnih vrednosti emisije sa toplotnom snagom koju daje svako pojedinačno gorivo, pa se tako dobijeni rezultat podeli zbirom toplotnih snaga koje proizvode sva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4) sabiranjem svih graničnih vrednosti emisija dobijenih na način utvrđen u tački 3) ovog stava.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Do izdavanja integrisane dozvole za veliko postrojenje iz stava 1. ovog člana, granične vrednosti emisija izračunava pravno lice ovlašćeno za merenje emisije na način propisan u stavu 2. ovog člana za svaki konkretan slučaj.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5" w:name="clan_16"/>
      <w:bookmarkEnd w:id="25"/>
      <w:r w:rsidRPr="00C11B63">
        <w:rPr>
          <w:rFonts w:ascii="Arial" w:eastAsia="Times New Roman" w:hAnsi="Arial" w:cs="Arial"/>
          <w:b/>
          <w:bCs/>
          <w:sz w:val="24"/>
          <w:szCs w:val="24"/>
          <w:lang w:eastAsia="sr-Latn-RS"/>
        </w:rPr>
        <w:t xml:space="preserve">Član 16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Stara velika postrojenja i postojeća velika postrojenja, osim graničnih vrednosti emisije iz člana 15. ove uredbe, mogu primenjivati sledeće prosečne granične vrednosti emisije za sumpor dioksid (nezavisno od kombinacije goriva koja se koriste):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1) za stara velika postrojenja: 1000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za sva takva postrojenja za sagorevanje u okviru rafinerije;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2) za postojeća velika postrojenja: 600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za sva takva postrojenja za sagorevanje u okviru rafinerije, osim gasnih turbina.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proofErr w:type="spellStart"/>
      <w:r w:rsidRPr="00C11B63">
        <w:rPr>
          <w:rFonts w:ascii="Arial" w:eastAsia="Times New Roman" w:hAnsi="Arial" w:cs="Arial"/>
          <w:lang w:eastAsia="sr-Latn-RS"/>
        </w:rPr>
        <w:t>Uprosečene</w:t>
      </w:r>
      <w:proofErr w:type="spellEnd"/>
      <w:r w:rsidRPr="00C11B63">
        <w:rPr>
          <w:rFonts w:ascii="Arial" w:eastAsia="Times New Roman" w:hAnsi="Arial" w:cs="Arial"/>
          <w:lang w:eastAsia="sr-Latn-RS"/>
        </w:rPr>
        <w:t xml:space="preserve"> granične vrednosti iz stava 1. ovog člana mogu se primeniti samo u slučaju da se time ne dovede do povećanja emisija iz postojećih velikih postrojenja.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6" w:name="clan_17"/>
      <w:bookmarkEnd w:id="26"/>
      <w:r w:rsidRPr="00C11B63">
        <w:rPr>
          <w:rFonts w:ascii="Arial" w:eastAsia="Times New Roman" w:hAnsi="Arial" w:cs="Arial"/>
          <w:b/>
          <w:bCs/>
          <w:sz w:val="24"/>
          <w:szCs w:val="24"/>
          <w:lang w:eastAsia="sr-Latn-RS"/>
        </w:rPr>
        <w:t xml:space="preserve">Član 17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Kod starih velikih postrojenja i postojećih velikih postrojenja koja alternativno koriste dve ili više vrsta goriva ili kod povećanja kapaciteta postrojenja iz člana 19. ove uredbe, primenjuju se granične vrednosti emisija iz Priloga 1. ove uredbe za svako pojedinačno gorivo koje se koristi.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7" w:name="clan_18"/>
      <w:bookmarkEnd w:id="27"/>
      <w:r w:rsidRPr="00C11B63">
        <w:rPr>
          <w:rFonts w:ascii="Arial" w:eastAsia="Times New Roman" w:hAnsi="Arial" w:cs="Arial"/>
          <w:b/>
          <w:bCs/>
          <w:sz w:val="24"/>
          <w:szCs w:val="24"/>
          <w:lang w:eastAsia="sr-Latn-RS"/>
        </w:rPr>
        <w:t xml:space="preserve">Član 18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Otpadni gasovi iz velikog postrojenja za sagorevanje ispuštaju se na kontrolisan način putem dimnjaka čija se visina izračunava na način da se zaštiti zdravlje ljudi i životna sredina.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28" w:name="clan_19"/>
      <w:bookmarkEnd w:id="28"/>
      <w:r w:rsidRPr="00C11B63">
        <w:rPr>
          <w:rFonts w:ascii="Arial" w:eastAsia="Times New Roman" w:hAnsi="Arial" w:cs="Arial"/>
          <w:b/>
          <w:bCs/>
          <w:sz w:val="24"/>
          <w:szCs w:val="24"/>
          <w:lang w:eastAsia="sr-Latn-RS"/>
        </w:rPr>
        <w:t xml:space="preserve">Član 19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Ako se toplotna snaga postojećeg velikog postrojenja za sagorevanje povećava ukupno za najmanje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to izgradnjom nove tehnološke celine za sagorevanje, granične vrednosti emisija date u Prilogu 1. pod V) ove uredbe primenjuju se na tu novu tehnološku celinu, a određuju se prema toplotnoj snazi celog postrojenja.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Izuzetno, odredba stava 1. ovog člana ne primenjuje se u slučajevima propisanim u članu 15. st. 1. i 2. i članu 16.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Ukoliko operater velikog postrojenja za sagorevanje predviđa bitne izmene u radu postrojenja, dužan je da o tome obavesti nadležni organ u skladu sa propisom o integrisanom sprečavanju i kontroli zagađivanja životne sredine.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 stava 3. ovog člana, granične vrednosti emisija za sumpor dioksid, okside azota, praškaste materije i ugljen monoksid date u Prilogu 1. pod V) primenjuju se na deo postrojenja koji je izmenjen u odnosu na ukupnu toplotnu snagu celog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stari deo starog velikog postrojenja i stari deo postojećeg velikog postrojenja koji je uvećan ukupno za najmanje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to izgradnjom nove tehnološke celine za sagorevanje, primenjuju se granične vrednosti emisija date u Prilogu 1. pod A), odnosno Prilogu 1. B) ove uredbe, a određuju se prema toplotnoj snazi celog postrojenja.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novi deo starog velikog postrojenja i novi deo postojećeg velikog postrojenja koji je uvećan ukupno za najmanje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to izgradnjom nove tehnološke celine za sagorevanje, primenjuju se granične vrednosti emisija iz Priloga 1. pod V) ove uredbe, a određuju se prema toplotnoj snazi celog postrojenja. </w:t>
      </w:r>
    </w:p>
    <w:p w:rsidR="00C11B63" w:rsidRPr="00C11B63" w:rsidRDefault="00C11B63" w:rsidP="00C11B63">
      <w:pPr>
        <w:spacing w:after="0" w:line="240" w:lineRule="auto"/>
        <w:jc w:val="center"/>
        <w:rPr>
          <w:rFonts w:ascii="Arial" w:eastAsia="Times New Roman" w:hAnsi="Arial" w:cs="Arial"/>
          <w:sz w:val="31"/>
          <w:szCs w:val="31"/>
          <w:lang w:eastAsia="sr-Latn-RS"/>
        </w:rPr>
      </w:pPr>
      <w:bookmarkStart w:id="29" w:name="str_10"/>
      <w:bookmarkEnd w:id="29"/>
      <w:r w:rsidRPr="00C11B63">
        <w:rPr>
          <w:rFonts w:ascii="Arial" w:eastAsia="Times New Roman" w:hAnsi="Arial" w:cs="Arial"/>
          <w:sz w:val="31"/>
          <w:szCs w:val="31"/>
          <w:lang w:eastAsia="sr-Latn-RS"/>
        </w:rPr>
        <w:t xml:space="preserve">III SREDNJA POSTROJENJA ZA SAGOREVANJE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30" w:name="str_11"/>
      <w:bookmarkEnd w:id="30"/>
      <w:r w:rsidRPr="00C11B63">
        <w:rPr>
          <w:rFonts w:ascii="Arial" w:eastAsia="Times New Roman" w:hAnsi="Arial" w:cs="Arial"/>
          <w:b/>
          <w:bCs/>
          <w:i/>
          <w:iCs/>
          <w:sz w:val="24"/>
          <w:szCs w:val="24"/>
          <w:lang w:eastAsia="sr-Latn-RS"/>
        </w:rPr>
        <w:t xml:space="preserve">Granična vrednost emisije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31" w:name="clan_20"/>
      <w:bookmarkEnd w:id="31"/>
      <w:r w:rsidRPr="00C11B63">
        <w:rPr>
          <w:rFonts w:ascii="Arial" w:eastAsia="Times New Roman" w:hAnsi="Arial" w:cs="Arial"/>
          <w:b/>
          <w:bCs/>
          <w:sz w:val="24"/>
          <w:szCs w:val="24"/>
          <w:lang w:eastAsia="sr-Latn-RS"/>
        </w:rPr>
        <w:lastRenderedPageBreak/>
        <w:t xml:space="preserve">Član 20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postojeća srednja postrojenja za sagorevanje date su u Prilogu 2. Granične vrednosti emisija za srednja postrojenja za sagorevanje, koji je odštampan uz ovu uredbu i čini njen sastavni deo, pod A) - Granične vrednosti emisija za postojeća srednja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nova srednja postrojenja za sagorevanje date su u Prilogu 2. pod B) Granične vrednosti emisija za nova srednja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srednja postrojenja za sagorevanje koja rade manje od 100 radnih časova godišnje ne primenjuju se odredbe ove uredbe.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32" w:name="str_12"/>
      <w:bookmarkEnd w:id="32"/>
      <w:r w:rsidRPr="00C11B63">
        <w:rPr>
          <w:rFonts w:ascii="Arial" w:eastAsia="Times New Roman" w:hAnsi="Arial" w:cs="Arial"/>
          <w:b/>
          <w:bCs/>
          <w:i/>
          <w:iCs/>
          <w:sz w:val="24"/>
          <w:szCs w:val="24"/>
          <w:lang w:eastAsia="sr-Latn-RS"/>
        </w:rPr>
        <w:t xml:space="preserve">Izuzeće zbog ograničenog veka trajanja postrojenja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33" w:name="clan_21"/>
      <w:bookmarkEnd w:id="33"/>
      <w:r w:rsidRPr="00C11B63">
        <w:rPr>
          <w:rFonts w:ascii="Arial" w:eastAsia="Times New Roman" w:hAnsi="Arial" w:cs="Arial"/>
          <w:b/>
          <w:bCs/>
          <w:sz w:val="24"/>
          <w:szCs w:val="24"/>
          <w:lang w:eastAsia="sr-Latn-RS"/>
        </w:rPr>
        <w:t xml:space="preserve">Član 21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Postojeća srednja postrojenja za sagorevanje nadležni organ može izuzeti od primene graničnih vrednosti emisija zagađujućih materija iz člana 20. stav 1. ove uredbe pod sledećim uslovima: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da operater postojećeg srednjeg postrojenja najkasnije do 30. juna 2016. godine nadležnom organu dostavi pisanu izjavu potpisanu i overenu od strane odgovornog lica da postrojenje u periodu od 1. jula 2016. godine do 30. juna 2022. godine neće raditi više od ukupno 20 000 radnih časova;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da operater svake godine, najkasnije do 31. januara tekuće godine za prethodnu kalendarsku godinu, dostavi Agenciji, odnosno nadležnom organu izveštaj o utrošenom i neutrošenom vremenu koji je namenjen za preostali radni vek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Ako u periodu od 1. jula 2016. godine do 30. juna 2022. godine postrojenje za sagorevanje utroši 20 000 radnih časova, a postrojenje za sagorevanje nastavi sa radom od 1. jula 2022. godine, moraju biti u skladu sa propisanim graničnim vrednostima emisija zagađujućih materija iz Priloga 2. pod B) ove uredbe.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34" w:name="clan_22"/>
      <w:bookmarkEnd w:id="34"/>
      <w:r w:rsidRPr="00C11B63">
        <w:rPr>
          <w:rFonts w:ascii="Arial" w:eastAsia="Times New Roman" w:hAnsi="Arial" w:cs="Arial"/>
          <w:b/>
          <w:bCs/>
          <w:sz w:val="24"/>
          <w:szCs w:val="24"/>
          <w:lang w:eastAsia="sr-Latn-RS"/>
        </w:rPr>
        <w:t xml:space="preserve">Član 22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Nadležni organ može da odobri prekoračenje propisanih graničnih vrednosti emisije za sumpor dioksid u periodu od najviše šest meseci u toku kalendarske godine iz srednjeg postrojenja za sagorevanje, koje obično koristi tečno gorivo sa niskim sadržajem sumpora, ako operater ne može da zadovolji propisane granične vrednosti emisije zbog prekida u snabdevanju gorivom usled velike nestašice i samo dok postoji prioritetna potreba za snabdevanje toplotnom i električnom energijom.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 stava 1. ovog člana, nadležni organ može da odobri prekoračenje propisanih graničnih vrednosti emisije za sumpor dioksid, pod uslovom da su u periodu pre prekida u snabdevanju tečnim gorivom sa niskim sadržajem sumpora, emisije sumpor dioksida iz srednjeg postrojenja za sagorevanje bile manje od graničnih vrednosti emisija propisanih ovom uredbom.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Zahtev za izdavanje odobrenja iz stava 1. ovog člana mora da sadrži izveštaj ovlašćenog pravnog lica o merenju emisije koji je izvršen pre prekida u snabdevanju </w:t>
      </w:r>
      <w:proofErr w:type="spellStart"/>
      <w:r w:rsidRPr="00C11B63">
        <w:rPr>
          <w:rFonts w:ascii="Arial" w:eastAsia="Times New Roman" w:hAnsi="Arial" w:cs="Arial"/>
          <w:lang w:eastAsia="sr-Latn-RS"/>
        </w:rPr>
        <w:t>niskosumpornim</w:t>
      </w:r>
      <w:proofErr w:type="spellEnd"/>
      <w:r w:rsidRPr="00C11B63">
        <w:rPr>
          <w:rFonts w:ascii="Arial" w:eastAsia="Times New Roman" w:hAnsi="Arial" w:cs="Arial"/>
          <w:lang w:eastAsia="sr-Latn-RS"/>
        </w:rPr>
        <w:t xml:space="preserve"> </w:t>
      </w:r>
      <w:r w:rsidRPr="00C11B63">
        <w:rPr>
          <w:rFonts w:ascii="Arial" w:eastAsia="Times New Roman" w:hAnsi="Arial" w:cs="Arial"/>
          <w:lang w:eastAsia="sr-Latn-RS"/>
        </w:rPr>
        <w:lastRenderedPageBreak/>
        <w:t xml:space="preserve">gorivom prema čijim rezultatima merenja, u uslovima merenja pri potrošnji </w:t>
      </w:r>
      <w:proofErr w:type="spellStart"/>
      <w:r w:rsidRPr="00C11B63">
        <w:rPr>
          <w:rFonts w:ascii="Arial" w:eastAsia="Times New Roman" w:hAnsi="Arial" w:cs="Arial"/>
          <w:lang w:eastAsia="sr-Latn-RS"/>
        </w:rPr>
        <w:t>niskosumpornog</w:t>
      </w:r>
      <w:proofErr w:type="spellEnd"/>
      <w:r w:rsidRPr="00C11B63">
        <w:rPr>
          <w:rFonts w:ascii="Arial" w:eastAsia="Times New Roman" w:hAnsi="Arial" w:cs="Arial"/>
          <w:lang w:eastAsia="sr-Latn-RS"/>
        </w:rPr>
        <w:t xml:space="preserve"> goriva, ne postoji prekoračenje graničnih vrednosti emisija za sumpor dioksid propisanih ovom uredbom.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iznenadnog poremećaja u snabdevanju gasom, nadležni organ može da odobri prekoračenje propisanih graničnih vrednosti emisija iz srednjeg postrojenja za sagorevanje koje koristi samo gasovito gorivo, a koje bi za korišćenje drugih goriva trebalo da bude opremljeno uređajima za prečišćavanje otpadnih gasova, na način da se operateru tog postrojenja dozvoli korišćenje drugih goriva zbog iznenadnog poremećaja u snabdevanju gasom, u periodu od najviše </w:t>
      </w:r>
      <w:proofErr w:type="spellStart"/>
      <w:r w:rsidRPr="00C11B63">
        <w:rPr>
          <w:rFonts w:ascii="Arial" w:eastAsia="Times New Roman" w:hAnsi="Arial" w:cs="Arial"/>
          <w:lang w:eastAsia="sr-Latn-RS"/>
        </w:rPr>
        <w:t>deste</w:t>
      </w:r>
      <w:proofErr w:type="spellEnd"/>
      <w:r w:rsidRPr="00C11B63">
        <w:rPr>
          <w:rFonts w:ascii="Arial" w:eastAsia="Times New Roman" w:hAnsi="Arial" w:cs="Arial"/>
          <w:lang w:eastAsia="sr-Latn-RS"/>
        </w:rPr>
        <w:t xml:space="preserve"> dana ili duže u slučaju da postoji prioritetna potreba za održavanjem snabdevanja energijom, dok god se taj poremećaj ne otkloni i uspostavi normalno snabdevanje gasovitim gorivom.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 slučaju iz st. 1. i 3. ovog člana operater je dužan da obavesti nadležni organ u roku od 24 časa od dobijanja informacije da postoji poremećaj u snabdevanju gorivom sa niskim sadržajem sumpora, odnosno gasom.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35" w:name="clan_23"/>
      <w:bookmarkEnd w:id="35"/>
      <w:r w:rsidRPr="00C11B63">
        <w:rPr>
          <w:rFonts w:ascii="Arial" w:eastAsia="Times New Roman" w:hAnsi="Arial" w:cs="Arial"/>
          <w:b/>
          <w:bCs/>
          <w:sz w:val="24"/>
          <w:szCs w:val="24"/>
          <w:lang w:eastAsia="sr-Latn-RS"/>
        </w:rPr>
        <w:t xml:space="preserve">Član 23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Srednja postrojenja za sagorevanje koja imaju ugrađene uređaje za smanjenje emisija mogu raditi ukoliko ti uređaji ne rade više od 120 radnih časova u kalendarskoj godini, od čega najviše 24 časa neprekidno.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 stava 1. ovog člana operater je dužan da obavesti nadležni organ u roku od 48 časova od trenutka prestanka rada uređaja za smanjenje emisija, ukoliko je ovaj prekid duži od 24 časa.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36" w:name="clan_24"/>
      <w:bookmarkEnd w:id="36"/>
      <w:r w:rsidRPr="00C11B63">
        <w:rPr>
          <w:rFonts w:ascii="Arial" w:eastAsia="Times New Roman" w:hAnsi="Arial" w:cs="Arial"/>
          <w:b/>
          <w:bCs/>
          <w:sz w:val="24"/>
          <w:szCs w:val="24"/>
          <w:lang w:eastAsia="sr-Latn-RS"/>
        </w:rPr>
        <w:t xml:space="preserve">Član 24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Kod srednjih postrojenja za sagorevanje u kojima istovremeno sagoreva dva ili više vrsta goriva granične vrednosti emisija izračunava pravno lice ovlašćeno za merenje emisije na način propisan u članu 14. stav 1. i članu 15. stav 2.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srednjim postrojenjima koja alternativno koriste dva ili više vrsta goriva primenjuju se granične vrednosti emisija iz Priloga 2. ove uredbe, za svako pojedinačno gorivo koje se koristi.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Pri prelazu sa čvrstog na tečno ili gasovito gorivo, granične vrednosti emisija za čvrsto gorivo iz Priloga 2. deo I. ove uredbe primenjuju se još naredna četiri časa, od trenutka zamene korišćenog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Tokom pokretanja i zaustavljanja srednjeg postrojenja, u slučajevima kada je zbog tehničkih razloga smanjen ili nije moguć rad uređaja za smanjenje emisije, ne primenjuju se granične vrednosti emisije zagađujućih materija za čije uklanjanje je projektovan ovaj uređaj.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 srednja postrojenja za sagorevanje koja koriste čvrsta goriva u </w:t>
      </w:r>
      <w:proofErr w:type="spellStart"/>
      <w:r w:rsidRPr="00C11B63">
        <w:rPr>
          <w:rFonts w:ascii="Arial" w:eastAsia="Times New Roman" w:hAnsi="Arial" w:cs="Arial"/>
          <w:lang w:eastAsia="sr-Latn-RS"/>
        </w:rPr>
        <w:t>fluidizovanom</w:t>
      </w:r>
      <w:proofErr w:type="spellEnd"/>
      <w:r w:rsidRPr="00C11B63">
        <w:rPr>
          <w:rFonts w:ascii="Arial" w:eastAsia="Times New Roman" w:hAnsi="Arial" w:cs="Arial"/>
          <w:lang w:eastAsia="sr-Latn-RS"/>
        </w:rPr>
        <w:t xml:space="preserve"> sloju primenjuju se najveće propisane granične vrednosti za čvrsta goriva iz Priloga 2. ove uredbe u slučaju kada alternativno ili istovremeno koriste dva ili više vrsta goriva. </w:t>
      </w:r>
    </w:p>
    <w:p w:rsidR="00C11B63" w:rsidRPr="00C11B63" w:rsidRDefault="00C11B63" w:rsidP="00C11B63">
      <w:pPr>
        <w:spacing w:after="0" w:line="240" w:lineRule="auto"/>
        <w:jc w:val="center"/>
        <w:rPr>
          <w:rFonts w:ascii="Arial" w:eastAsia="Times New Roman" w:hAnsi="Arial" w:cs="Arial"/>
          <w:sz w:val="31"/>
          <w:szCs w:val="31"/>
          <w:lang w:eastAsia="sr-Latn-RS"/>
        </w:rPr>
      </w:pPr>
      <w:bookmarkStart w:id="37" w:name="str_13"/>
      <w:bookmarkEnd w:id="37"/>
      <w:r w:rsidRPr="00C11B63">
        <w:rPr>
          <w:rFonts w:ascii="Arial" w:eastAsia="Times New Roman" w:hAnsi="Arial" w:cs="Arial"/>
          <w:sz w:val="31"/>
          <w:szCs w:val="31"/>
          <w:lang w:eastAsia="sr-Latn-RS"/>
        </w:rPr>
        <w:t xml:space="preserve">IV MALA POSTROJENJA ZA SAGOREVANJE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38" w:name="str_14"/>
      <w:bookmarkEnd w:id="38"/>
      <w:r w:rsidRPr="00C11B63">
        <w:rPr>
          <w:rFonts w:ascii="Arial" w:eastAsia="Times New Roman" w:hAnsi="Arial" w:cs="Arial"/>
          <w:b/>
          <w:bCs/>
          <w:i/>
          <w:iCs/>
          <w:sz w:val="24"/>
          <w:szCs w:val="24"/>
          <w:lang w:eastAsia="sr-Latn-RS"/>
        </w:rPr>
        <w:t xml:space="preserve">Granična vrednost emisije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39" w:name="clan_25"/>
      <w:bookmarkEnd w:id="39"/>
      <w:r w:rsidRPr="00C11B63">
        <w:rPr>
          <w:rFonts w:ascii="Arial" w:eastAsia="Times New Roman" w:hAnsi="Arial" w:cs="Arial"/>
          <w:b/>
          <w:bCs/>
          <w:sz w:val="24"/>
          <w:szCs w:val="24"/>
          <w:lang w:eastAsia="sr-Latn-RS"/>
        </w:rPr>
        <w:lastRenderedPageBreak/>
        <w:t xml:space="preserve">Član 25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postojeća mala postrojenja za sagorevanje date su u Prilogu 3. pod A) - Granične vrednosti emisija za postojeća mala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nova mala postrojenja za sagorevanje date su u Prilogu 3. pod B) - Granične vrednosti emisija za nova mala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mala postrojenja za sagorevanje koja rade manje od 100 radnih časova godišnje ne primenjuju se odredbe ove uredbe.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40" w:name="str_15"/>
      <w:bookmarkEnd w:id="40"/>
      <w:r w:rsidRPr="00C11B63">
        <w:rPr>
          <w:rFonts w:ascii="Arial" w:eastAsia="Times New Roman" w:hAnsi="Arial" w:cs="Arial"/>
          <w:b/>
          <w:bCs/>
          <w:i/>
          <w:iCs/>
          <w:sz w:val="24"/>
          <w:szCs w:val="24"/>
          <w:lang w:eastAsia="sr-Latn-RS"/>
        </w:rPr>
        <w:t xml:space="preserve">Izuzeće zbog ograničenog veka trajanja postrojenja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41" w:name="clan_26"/>
      <w:bookmarkEnd w:id="41"/>
      <w:r w:rsidRPr="00C11B63">
        <w:rPr>
          <w:rFonts w:ascii="Arial" w:eastAsia="Times New Roman" w:hAnsi="Arial" w:cs="Arial"/>
          <w:b/>
          <w:bCs/>
          <w:sz w:val="24"/>
          <w:szCs w:val="24"/>
          <w:lang w:eastAsia="sr-Latn-RS"/>
        </w:rPr>
        <w:t xml:space="preserve">Član 26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Postojeća mala postrojenja za sagorevanje nadležni organ može izuzeti od usklađivanja sa graničnim vrednostima emisija zagađujućih materija iz člana 25. stav 1. ove uredbe pod sledećim uslovima: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da operater postojećeg malog postrojenja najkasnije do 30. juna 2016. godine nadležnom organu dostavi pisanu izjavu potpisanu i overenu od strane odgovornog lica da postrojenje u periodu od 1. jula 2016. godine do 30. juna 2022. godine neće raditi više od ukupno 20 000 radnih časova;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da operater svake godine, najkasnije do 31. januara tekuće godine za prethodnu kalendarsku godinu, dostavi nadležnom organu izveštaj o utrošenom i neutrošenom vremenu koji je namenjen za preostali radni vek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Ako u periodu od 1. jula 2016. godine do 30. juna 2022. godine postrojenje za sagorevanje utroši 20 000 radnih časova, a postrojenje za sagorevanje nastavi sa radom od 1. jula 2022. godine, moraju biti u skladu sa propisanim graničnim vrednostima emisija zagađujućih materija iz Priloga 3. pod B) ove uredbe.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42" w:name="clan_27"/>
      <w:bookmarkEnd w:id="42"/>
      <w:r w:rsidRPr="00C11B63">
        <w:rPr>
          <w:rFonts w:ascii="Arial" w:eastAsia="Times New Roman" w:hAnsi="Arial" w:cs="Arial"/>
          <w:b/>
          <w:bCs/>
          <w:sz w:val="24"/>
          <w:szCs w:val="24"/>
          <w:lang w:eastAsia="sr-Latn-RS"/>
        </w:rPr>
        <w:t xml:space="preserve">Član 27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Mala postrojenja za sagorevanje koja imaju ugrađene uređaje za smanjenje emisija mogu raditi ukoliko ti uređaji ne rade više od 120 radnih časova u kalendarskoj godini, od čega najviše 24 časa neprekidno.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 stava 1. ovog člana operater je dužan da obavesti nadležni organ u roku od 48 časova od trenutka prestanka rada uređaja za smanjenje emisija, ukoliko je ovaj prekid duži od 24 časa.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43" w:name="clan_28"/>
      <w:bookmarkEnd w:id="43"/>
      <w:r w:rsidRPr="00C11B63">
        <w:rPr>
          <w:rFonts w:ascii="Arial" w:eastAsia="Times New Roman" w:hAnsi="Arial" w:cs="Arial"/>
          <w:b/>
          <w:bCs/>
          <w:sz w:val="24"/>
          <w:szCs w:val="24"/>
          <w:lang w:eastAsia="sr-Latn-RS"/>
        </w:rPr>
        <w:t xml:space="preserve">Član 28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Nadležni organ može da odobri prekoračenje propisanih graničnih vrednosti emisije za sumpor dioksid, u periodu od najviše šest meseci u toku kalendarske godine iz malog postrojenja za sagorevanje, koje obično koristi tečno gorivo sa niskim sadržajem sumpora, ako operater ne može da zadovolji propisane granične vrednosti emisije zbog prekida u snabdevanju gorivom usled velike nestašice i samo dok postoji prioritetna potreba za </w:t>
      </w:r>
      <w:r w:rsidRPr="00C11B63">
        <w:rPr>
          <w:rFonts w:ascii="Arial" w:eastAsia="Times New Roman" w:hAnsi="Arial" w:cs="Arial"/>
          <w:lang w:eastAsia="sr-Latn-RS"/>
        </w:rPr>
        <w:lastRenderedPageBreak/>
        <w:t xml:space="preserve">snabdevanje domaćinstava i poslovnog prostora toplotnom energijom za grejanje, toplom sanitarnom vodom i električnom energijom.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 stava 1. ovog člana, nadležni organ može da odobri prekoračenje propisanih graničnih vrednosti emisije za sumpor dioksid, pod uslovom da su u periodu pre prekida u snabdevanju tečnim gorivom sa niskim sadržajem sumpora, emisije sumpor dioksida iz malog postrojenja za sagorevanje bile manje od graničnih vrednosti emisija propisanih ovom uredbom.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Zahtev za izdavanje odobrenja iz stava 1. ovog člana mora da sadrži izveštaj ovlašćenog pravnog lica o merenju emisije koji je izvršen pre prekida u snabdevanju </w:t>
      </w:r>
      <w:proofErr w:type="spellStart"/>
      <w:r w:rsidRPr="00C11B63">
        <w:rPr>
          <w:rFonts w:ascii="Arial" w:eastAsia="Times New Roman" w:hAnsi="Arial" w:cs="Arial"/>
          <w:lang w:eastAsia="sr-Latn-RS"/>
        </w:rPr>
        <w:t>niskosumpornim</w:t>
      </w:r>
      <w:proofErr w:type="spellEnd"/>
      <w:r w:rsidRPr="00C11B63">
        <w:rPr>
          <w:rFonts w:ascii="Arial" w:eastAsia="Times New Roman" w:hAnsi="Arial" w:cs="Arial"/>
          <w:lang w:eastAsia="sr-Latn-RS"/>
        </w:rPr>
        <w:t xml:space="preserve"> gorivom prema čijim rezultatima merenja, u uslovima merenja pri potrošnji </w:t>
      </w:r>
      <w:proofErr w:type="spellStart"/>
      <w:r w:rsidRPr="00C11B63">
        <w:rPr>
          <w:rFonts w:ascii="Arial" w:eastAsia="Times New Roman" w:hAnsi="Arial" w:cs="Arial"/>
          <w:lang w:eastAsia="sr-Latn-RS"/>
        </w:rPr>
        <w:t>niskosumpornog</w:t>
      </w:r>
      <w:proofErr w:type="spellEnd"/>
      <w:r w:rsidRPr="00C11B63">
        <w:rPr>
          <w:rFonts w:ascii="Arial" w:eastAsia="Times New Roman" w:hAnsi="Arial" w:cs="Arial"/>
          <w:lang w:eastAsia="sr-Latn-RS"/>
        </w:rPr>
        <w:t xml:space="preserve"> goriva, ne postoji prekoračenje graničnih vrednosti emisija za sumpor dioksid propisanih ovom uredbom.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iznenadnog poremećaja u snabdevanju gasom, nadležni organ može da odobri odstupanje od propisanih graničnih vrednosti emisija iz malog postrojenja za sagorevanje koje koristi samo gasovito gorivo, a koje bi za korišćenje drugih goriva trebalo da bude opremljeno uređajima za prečišćavanje otpadnih gasova, na način da se operateru tog postrojenja dozvoli korišćenje drugih goriva zbog iznenadnog poremećaja u snabdevanju gasom, u periodu od najviše deset dana, ili duže u slučaju da postoji prioritetna potreba za održavanjem snabdevanja energijom, dok god se taj poremećaj ne otkloni i uspostavi normalno snabdevanje gasovitim gorivom.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 slučaju iz st. 1. i 3. ovog člana operater je dužan da obavesti nadležni organ u roku od 24 časa od dobijanja informacije da postoji poremećaj u snabdevanju gorivom sa niskim sadržajem sumpora, odnosno gasom.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44" w:name="clan_29"/>
      <w:bookmarkEnd w:id="44"/>
      <w:r w:rsidRPr="00C11B63">
        <w:rPr>
          <w:rFonts w:ascii="Arial" w:eastAsia="Times New Roman" w:hAnsi="Arial" w:cs="Arial"/>
          <w:b/>
          <w:bCs/>
          <w:sz w:val="24"/>
          <w:szCs w:val="24"/>
          <w:lang w:eastAsia="sr-Latn-RS"/>
        </w:rPr>
        <w:t xml:space="preserve">Član 29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Kod malih postrojenja za sagorevanje u kojima istovremeno sagoreva dva ili više vrsta goriva, granične vrednosti emisija izračunava pravno lice ovlašćeno za merenje emisije na način propisan u članu 14. stav 1. i članu 15. stav 2.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malim postrojenjima koja alternativno koriste dve ili više vrsta goriva primenjuju se granične vrednosti emisija iz Priloga 3. ove uredbe, za svako pojedinačno gorivo koje se koristi.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Pri prelazu sa čvrstog na tečno ili gasovito gorivo, granične vrednosti emisija za čvrsto gorivo iz Priloga 3. deo I. ove uredbe, primenjuju se još naredna četiri sata, od trenutka zamene korišćenog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Tokom pokretanja i zaustavljanja malog postrojenja, u slučajevima kada je zbog tehničkih razloga smanjen ili nije moguć rad uređaja za smanjenje emisije, granične vrednosti emisije propisane ovom uredbom ne primenjuju se na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za čije uklanjanje je projektovan ovaj uređaj.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 mala postrojenja za sagorevanje koja koriste čvrsta goriva u </w:t>
      </w:r>
      <w:proofErr w:type="spellStart"/>
      <w:r w:rsidRPr="00C11B63">
        <w:rPr>
          <w:rFonts w:ascii="Arial" w:eastAsia="Times New Roman" w:hAnsi="Arial" w:cs="Arial"/>
          <w:lang w:eastAsia="sr-Latn-RS"/>
        </w:rPr>
        <w:t>fluidizovanom</w:t>
      </w:r>
      <w:proofErr w:type="spellEnd"/>
      <w:r w:rsidRPr="00C11B63">
        <w:rPr>
          <w:rFonts w:ascii="Arial" w:eastAsia="Times New Roman" w:hAnsi="Arial" w:cs="Arial"/>
          <w:lang w:eastAsia="sr-Latn-RS"/>
        </w:rPr>
        <w:t xml:space="preserve"> sloju primenjuju se najveće propisane granične vrednosti za čvrsta goriva iz Priloga 3. ove uredbe, u slučaju kada alternativno ili istovremeno koriste dve ili više vrsta goriva. </w:t>
      </w:r>
    </w:p>
    <w:p w:rsidR="00C11B63" w:rsidRPr="00C11B63" w:rsidRDefault="00C11B63" w:rsidP="00C11B63">
      <w:pPr>
        <w:spacing w:after="0" w:line="240" w:lineRule="auto"/>
        <w:jc w:val="center"/>
        <w:rPr>
          <w:rFonts w:ascii="Arial" w:eastAsia="Times New Roman" w:hAnsi="Arial" w:cs="Arial"/>
          <w:sz w:val="31"/>
          <w:szCs w:val="31"/>
          <w:lang w:eastAsia="sr-Latn-RS"/>
        </w:rPr>
      </w:pPr>
      <w:bookmarkStart w:id="45" w:name="str_16"/>
      <w:bookmarkEnd w:id="45"/>
      <w:r w:rsidRPr="00C11B63">
        <w:rPr>
          <w:rFonts w:ascii="Arial" w:eastAsia="Times New Roman" w:hAnsi="Arial" w:cs="Arial"/>
          <w:sz w:val="31"/>
          <w:szCs w:val="31"/>
          <w:lang w:eastAsia="sr-Latn-RS"/>
        </w:rPr>
        <w:t xml:space="preserve">V NAČIN I ROKOVI DOSTAVLJANJA PODATAKA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46" w:name="clan_30"/>
      <w:bookmarkEnd w:id="46"/>
      <w:r w:rsidRPr="00C11B63">
        <w:rPr>
          <w:rFonts w:ascii="Arial" w:eastAsia="Times New Roman" w:hAnsi="Arial" w:cs="Arial"/>
          <w:b/>
          <w:bCs/>
          <w:sz w:val="24"/>
          <w:szCs w:val="24"/>
          <w:lang w:eastAsia="sr-Latn-RS"/>
        </w:rPr>
        <w:lastRenderedPageBreak/>
        <w:t xml:space="preserve">Član 30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Registar velikih postrojenja za sagorevanje uspostavlja Agencija za potrebe Nacionalnog registra izvora zagađivanja u skladu sa propisom kojim je uređena metodologija za izradu Nacionalnog i lokalnog registra izvora zagađivanja, kao i metodologija za vrste, načine i rokove prikupljanja podataka.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Pored osnovnih podataka o postrojenju za sagorevanje i mernim mestima, registar sadrži najmanje, količine emitovanih zagađujućih materija, i to: sumpor dioksida, oksida azota i praškastih materija.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47" w:name="str_17"/>
      <w:bookmarkEnd w:id="47"/>
      <w:r w:rsidRPr="00C11B63">
        <w:rPr>
          <w:rFonts w:ascii="Arial" w:eastAsia="Times New Roman" w:hAnsi="Arial" w:cs="Arial"/>
          <w:b/>
          <w:bCs/>
          <w:i/>
          <w:iCs/>
          <w:sz w:val="24"/>
          <w:szCs w:val="24"/>
          <w:lang w:eastAsia="sr-Latn-RS"/>
        </w:rPr>
        <w:t xml:space="preserve">Izveštaj o godišnjem bilansu emisija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48" w:name="clan_31"/>
      <w:bookmarkEnd w:id="48"/>
      <w:r w:rsidRPr="00C11B63">
        <w:rPr>
          <w:rFonts w:ascii="Arial" w:eastAsia="Times New Roman" w:hAnsi="Arial" w:cs="Arial"/>
          <w:b/>
          <w:bCs/>
          <w:sz w:val="24"/>
          <w:szCs w:val="24"/>
          <w:lang w:eastAsia="sr-Latn-RS"/>
        </w:rPr>
        <w:t xml:space="preserve">Član 31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Izveštaj o godišnjem bilansu emisija zagađujućih materija u vazduh iz postrojenja za sagorevanje operater dostavlja Agenciji unosom podataka u informacioni sistem Nacionalnog registra izvora zagađivanja, odnosno organu nadležnom za poslove zaštite životne sredine unosom podataka u informacioni sistem lokalnog registra izvora zagađivanja, u tabeli datoj u Prilogu 5. - Izveštaj o godišnjem bilansu emisija, koji je odštampan uz ovu uredbu i čini njen sastavni deo, do 31. januara tekuće godine za prethodnu kalendarsku godinu.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obrazac izveštaja iz stava 1. ovog člana unose se rezultati </w:t>
      </w:r>
      <w:proofErr w:type="spellStart"/>
      <w:r w:rsidRPr="00C11B63">
        <w:rPr>
          <w:rFonts w:ascii="Arial" w:eastAsia="Times New Roman" w:hAnsi="Arial" w:cs="Arial"/>
          <w:lang w:eastAsia="sr-Latn-RS"/>
        </w:rPr>
        <w:t>kontinualnog</w:t>
      </w:r>
      <w:proofErr w:type="spellEnd"/>
      <w:r w:rsidRPr="00C11B63">
        <w:rPr>
          <w:rFonts w:ascii="Arial" w:eastAsia="Times New Roman" w:hAnsi="Arial" w:cs="Arial"/>
          <w:lang w:eastAsia="sr-Latn-RS"/>
        </w:rPr>
        <w:t xml:space="preserve"> merenja emisije sprovedeni, u skladu sa Zakonom o zaštiti vazduha.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Ukoliko ne postoje rezultati </w:t>
      </w:r>
      <w:proofErr w:type="spellStart"/>
      <w:r w:rsidRPr="00C11B63">
        <w:rPr>
          <w:rFonts w:ascii="Arial" w:eastAsia="Times New Roman" w:hAnsi="Arial" w:cs="Arial"/>
          <w:lang w:eastAsia="sr-Latn-RS"/>
        </w:rPr>
        <w:t>kontinualnog</w:t>
      </w:r>
      <w:proofErr w:type="spellEnd"/>
      <w:r w:rsidRPr="00C11B63">
        <w:rPr>
          <w:rFonts w:ascii="Arial" w:eastAsia="Times New Roman" w:hAnsi="Arial" w:cs="Arial"/>
          <w:lang w:eastAsia="sr-Latn-RS"/>
        </w:rPr>
        <w:t xml:space="preserve"> merenja emisije, u obrazac izveštaja iz stava 1. ovog člana unose se podaci dobijeni proračunom iz rezultata svih periodičnih merenja emisije zagađujućih materija izvršenih u kalendarskoj godini, u skladu sa Zakonom o zaštiti vazduha.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Godišnje količine emisija obračunavaju se na osnovu procene samo u slučaju kada ne postoje rezultati </w:t>
      </w:r>
      <w:proofErr w:type="spellStart"/>
      <w:r w:rsidRPr="00C11B63">
        <w:rPr>
          <w:rFonts w:ascii="Arial" w:eastAsia="Times New Roman" w:hAnsi="Arial" w:cs="Arial"/>
          <w:lang w:eastAsia="sr-Latn-RS"/>
        </w:rPr>
        <w:t>kontinualnog</w:t>
      </w:r>
      <w:proofErr w:type="spellEnd"/>
      <w:r w:rsidRPr="00C11B63">
        <w:rPr>
          <w:rFonts w:ascii="Arial" w:eastAsia="Times New Roman" w:hAnsi="Arial" w:cs="Arial"/>
          <w:lang w:eastAsia="sr-Latn-RS"/>
        </w:rPr>
        <w:t xml:space="preserve"> ili povremenog merenja emisije sprovedenih na osnovu propisa kojim se uređuje zaštita vazduha i propisa kojim se uređuje merenje emisija zagađujućih materija u vazduh iz stacionarnih izvora zagađivanja. </w:t>
      </w:r>
    </w:p>
    <w:p w:rsidR="00C11B63" w:rsidRPr="00C11B63" w:rsidRDefault="00C11B63" w:rsidP="00C11B63">
      <w:pPr>
        <w:spacing w:before="240" w:after="240" w:line="240" w:lineRule="auto"/>
        <w:jc w:val="center"/>
        <w:rPr>
          <w:rFonts w:ascii="Arial" w:eastAsia="Times New Roman" w:hAnsi="Arial" w:cs="Arial"/>
          <w:b/>
          <w:bCs/>
          <w:i/>
          <w:iCs/>
          <w:sz w:val="24"/>
          <w:szCs w:val="24"/>
          <w:lang w:eastAsia="sr-Latn-RS"/>
        </w:rPr>
      </w:pPr>
      <w:bookmarkStart w:id="49" w:name="str_18"/>
      <w:bookmarkEnd w:id="49"/>
      <w:r w:rsidRPr="00C11B63">
        <w:rPr>
          <w:rFonts w:ascii="Arial" w:eastAsia="Times New Roman" w:hAnsi="Arial" w:cs="Arial"/>
          <w:b/>
          <w:bCs/>
          <w:i/>
          <w:iCs/>
          <w:sz w:val="24"/>
          <w:szCs w:val="24"/>
          <w:lang w:eastAsia="sr-Latn-RS"/>
        </w:rPr>
        <w:t xml:space="preserve">Izveštaj o ostvarenom broju radnih časova u toku </w:t>
      </w:r>
      <w:proofErr w:type="spellStart"/>
      <w:r w:rsidRPr="00C11B63">
        <w:rPr>
          <w:rFonts w:ascii="Arial" w:eastAsia="Times New Roman" w:hAnsi="Arial" w:cs="Arial"/>
          <w:b/>
          <w:bCs/>
          <w:i/>
          <w:iCs/>
          <w:sz w:val="24"/>
          <w:szCs w:val="24"/>
          <w:lang w:eastAsia="sr-Latn-RS"/>
        </w:rPr>
        <w:t>izveštajne</w:t>
      </w:r>
      <w:proofErr w:type="spellEnd"/>
      <w:r w:rsidRPr="00C11B63">
        <w:rPr>
          <w:rFonts w:ascii="Arial" w:eastAsia="Times New Roman" w:hAnsi="Arial" w:cs="Arial"/>
          <w:b/>
          <w:bCs/>
          <w:i/>
          <w:iCs/>
          <w:sz w:val="24"/>
          <w:szCs w:val="24"/>
          <w:lang w:eastAsia="sr-Latn-RS"/>
        </w:rPr>
        <w:t xml:space="preserve"> godine postrojenja za sagorevanje sa ograničenim vekom trajanja postrojenja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0" w:name="clan_32"/>
      <w:bookmarkEnd w:id="50"/>
      <w:r w:rsidRPr="00C11B63">
        <w:rPr>
          <w:rFonts w:ascii="Arial" w:eastAsia="Times New Roman" w:hAnsi="Arial" w:cs="Arial"/>
          <w:b/>
          <w:bCs/>
          <w:sz w:val="24"/>
          <w:szCs w:val="24"/>
          <w:lang w:eastAsia="sr-Latn-RS"/>
        </w:rPr>
        <w:t xml:space="preserve">Član 32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Operater starog velikog postrojenja za sagorevanje, čiji je vek trajanja ograničen, dužan je da dostavi nadležnom organu i Agenciji izveštaj o ostvarenom broju radnih časova u toku </w:t>
      </w:r>
      <w:proofErr w:type="spellStart"/>
      <w:r w:rsidRPr="00C11B63">
        <w:rPr>
          <w:rFonts w:ascii="Arial" w:eastAsia="Times New Roman" w:hAnsi="Arial" w:cs="Arial"/>
          <w:lang w:eastAsia="sr-Latn-RS"/>
        </w:rPr>
        <w:t>izveštajne</w:t>
      </w:r>
      <w:proofErr w:type="spellEnd"/>
      <w:r w:rsidRPr="00C11B63">
        <w:rPr>
          <w:rFonts w:ascii="Arial" w:eastAsia="Times New Roman" w:hAnsi="Arial" w:cs="Arial"/>
          <w:lang w:eastAsia="sr-Latn-RS"/>
        </w:rPr>
        <w:t xml:space="preserve"> godine na osnovu kojeg se vrši proračun preostalog radnog veka postrojenja za sagorevanje, u tabeli datoj u Prilogu 6. Izveštaj o broju radnih časova postrojenja za sagorevanje, koji je odštampan uz ovu uredbu i čini njen sastavni deo.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Dostavljanje izveštaja iz stava 1. ovog člana vrši se unosom podataka u informacioni sistem Nacionalnog registra i dostavljanjem jednog kompleta obrazaca odštampanih iz informacionog sistema Nacionalnog registra u papirnoj formi, potpisan i overen od strane odgovornog lica.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Operater srednjeg postrojenja i malog postrojenja za sagorevanje, čiji je vek trajanja ograničen, dužan je da dostavi nadležnom organu, kao i u lokalni registar izvora zagađivanja, </w:t>
      </w:r>
      <w:r w:rsidRPr="00C11B63">
        <w:rPr>
          <w:rFonts w:ascii="Arial" w:eastAsia="Times New Roman" w:hAnsi="Arial" w:cs="Arial"/>
          <w:lang w:eastAsia="sr-Latn-RS"/>
        </w:rPr>
        <w:lastRenderedPageBreak/>
        <w:t xml:space="preserve">izveštaj o ostvarenom broju radnih časova u toku </w:t>
      </w:r>
      <w:proofErr w:type="spellStart"/>
      <w:r w:rsidRPr="00C11B63">
        <w:rPr>
          <w:rFonts w:ascii="Arial" w:eastAsia="Times New Roman" w:hAnsi="Arial" w:cs="Arial"/>
          <w:lang w:eastAsia="sr-Latn-RS"/>
        </w:rPr>
        <w:t>izveštajne</w:t>
      </w:r>
      <w:proofErr w:type="spellEnd"/>
      <w:r w:rsidRPr="00C11B63">
        <w:rPr>
          <w:rFonts w:ascii="Arial" w:eastAsia="Times New Roman" w:hAnsi="Arial" w:cs="Arial"/>
          <w:lang w:eastAsia="sr-Latn-RS"/>
        </w:rPr>
        <w:t xml:space="preserve"> godine na osnovu kojeg se vrši proračun preostalog radnog veka postrojenja za sagorevanje, u tabeli datoj u Prilogu 6. Izveštaj o broju radnih časova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Dostavljanje izveštaja iz stava 3. ovog člana vrši se unosom podataka u informacioni sistem lokalnog registra izvora zagađivanja i dostavljanjem jednog kompleta obrazaca u papirnoj formi, potpisan i overen od strane odgovornog lica.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1" w:name="clan_33"/>
      <w:bookmarkEnd w:id="51"/>
      <w:r w:rsidRPr="00C11B63">
        <w:rPr>
          <w:rFonts w:ascii="Arial" w:eastAsia="Times New Roman" w:hAnsi="Arial" w:cs="Arial"/>
          <w:b/>
          <w:bCs/>
          <w:sz w:val="24"/>
          <w:szCs w:val="24"/>
          <w:lang w:eastAsia="sr-Latn-RS"/>
        </w:rPr>
        <w:t xml:space="preserve">Član 33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Izveštaj o ostvarenom broju radnih časova u toku </w:t>
      </w:r>
      <w:proofErr w:type="spellStart"/>
      <w:r w:rsidRPr="00C11B63">
        <w:rPr>
          <w:rFonts w:ascii="Arial" w:eastAsia="Times New Roman" w:hAnsi="Arial" w:cs="Arial"/>
          <w:lang w:eastAsia="sr-Latn-RS"/>
        </w:rPr>
        <w:t>izveštajne</w:t>
      </w:r>
      <w:proofErr w:type="spellEnd"/>
      <w:r w:rsidRPr="00C11B63">
        <w:rPr>
          <w:rFonts w:ascii="Arial" w:eastAsia="Times New Roman" w:hAnsi="Arial" w:cs="Arial"/>
          <w:lang w:eastAsia="sr-Latn-RS"/>
        </w:rPr>
        <w:t xml:space="preserve"> godine postrojenja za sagorevanje sa ograničenim vekom trajanja, operater postrojenja za sagorevanje dostavlja unosom podataka u informacioni sistem Nacionalnog registra izvora zagađivanja i lokalnog registra izvora zagađivanja najkasnije do 31. januara tekuće godine za prethodnu kalendarsku godinu.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Prva izveštajna godina započinje od 1. januara 2018. godine. </w:t>
      </w:r>
    </w:p>
    <w:p w:rsidR="00C11B63" w:rsidRPr="00C11B63" w:rsidRDefault="00C11B63" w:rsidP="00C11B63">
      <w:pPr>
        <w:spacing w:after="0" w:line="240" w:lineRule="auto"/>
        <w:jc w:val="center"/>
        <w:rPr>
          <w:rFonts w:ascii="Arial" w:eastAsia="Times New Roman" w:hAnsi="Arial" w:cs="Arial"/>
          <w:sz w:val="31"/>
          <w:szCs w:val="31"/>
          <w:lang w:eastAsia="sr-Latn-RS"/>
        </w:rPr>
      </w:pPr>
      <w:bookmarkStart w:id="52" w:name="str_19"/>
      <w:bookmarkEnd w:id="52"/>
      <w:r w:rsidRPr="00C11B63">
        <w:rPr>
          <w:rFonts w:ascii="Arial" w:eastAsia="Times New Roman" w:hAnsi="Arial" w:cs="Arial"/>
          <w:sz w:val="31"/>
          <w:szCs w:val="31"/>
          <w:lang w:eastAsia="sr-Latn-RS"/>
        </w:rPr>
        <w:t xml:space="preserve">VI PRELAZNE I ZAVRŠNE ODREDBE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3" w:name="clan_34"/>
      <w:bookmarkEnd w:id="53"/>
      <w:r w:rsidRPr="00C11B63">
        <w:rPr>
          <w:rFonts w:ascii="Arial" w:eastAsia="Times New Roman" w:hAnsi="Arial" w:cs="Arial"/>
          <w:b/>
          <w:bCs/>
          <w:sz w:val="24"/>
          <w:szCs w:val="24"/>
          <w:lang w:eastAsia="sr-Latn-RS"/>
        </w:rPr>
        <w:t xml:space="preserve">Član 34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nova velika postrojenja za sagorevanje primenjuju se granične vrednosti emisija zagađujućih materija propisane ovom uredbom u Prilogu 1. pod V), počev od 1. januara 2018.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nova srednja postrojenja za sagorevanje primenjuju se granične vrednosti emisija zagađujućih materija propisane ovom uredbom u Prilogu 2. pod B), od dana stupanja na snagu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nova mala postrojenja za sagorevanje primenjuju se granične vrednosti emisija zagađujućih materija propisane ovom uredbom u Prilogu 3. pod B), od dana stupanja na snagu ove uredbe.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4" w:name="clan_35"/>
      <w:bookmarkEnd w:id="54"/>
      <w:r w:rsidRPr="00C11B63">
        <w:rPr>
          <w:rFonts w:ascii="Arial" w:eastAsia="Times New Roman" w:hAnsi="Arial" w:cs="Arial"/>
          <w:b/>
          <w:bCs/>
          <w:sz w:val="24"/>
          <w:szCs w:val="24"/>
          <w:lang w:eastAsia="sr-Latn-RS"/>
        </w:rPr>
        <w:t xml:space="preserve">Član 35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stara velika postrojenja za sagorevanje primenjuju se granične vrednosti emisija iz Priloga 1. pod A) od dana stupanja na snagu ove uredbe, osim ako odredbama ove uredbe nije drugačije propisano.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Stara velika postrojenja za sagorevanje dužna su da usklade svoje emisije sa graničnim vrednostima emisija iz Priloga 1. pod B) ove uredbe najkasnije do 1. januara 2028.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postojeća velika postrojenja za sagorevanje primenjuju se granične vrednosti emisija iz Priloga 1. pod B) od dana stupanja na snagu ove uredbe, osim ako odredbama ove uredbe nije drugačije propisano.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Emisije iz postojećih velikih postrojenja za sagorevanje moraju biti usklađene sa graničnim vrednostima emisija iz Priloga 1. pod V) u roku od pet godina od dana stupanja na snagu ove uredbe, osim ako odredbama ove uredbe nije drugačije propisano.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Na postojeća srednja postrojenja za sagorevanje primenjuju se granične vrednosti emisija iz Priloga 2. pod A) od dana stupanja na snagu ove uredbe, osim ako odredbama ove uredbe nije drugačije propisano.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Emisije iz postojećeg srednjeg postrojenja iz člana 21. ove uredbe moraju biti manje ili jednake garantovanoj vrednosti emisije iz ugovora o poslednjoj rekonstrukciji postojećeg uređaja za smanjivanje emisija, odnosno iz ugovora o izgradnji ovakvog uređaja u slučaju da nije izvršena njegova rekonstrukcija, u periodu od dana stupanja na snagu ove uredbe do isteka 20 000 radnih časova postrojenja, a najkasnije do 1. jula 2022.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Emisije iz postojećih srednjih postrojenja za sagorevanje koja nadležni organ nije izuzeo zbog ograničenog veka trajanja moraju biti u skladu sa graničnim vrednostima emisija iz Priloga 2. pod B) u roku od pet godina od dana stupanja na snagu ove uredbe.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postojeća mala postrojenja za sagorevanje primenjuju se granične vrednosti emisija iz Priloga 3. pod A) od dana stupanja na snagu ove uredbe, osim ako odredbama ove uredbe nije drugačije propisano.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Emisije iz postojećeg malog postrojenja za sagorevanje iz člana 26. ove uredbe moraju biti manje ili jednake garantovanoj vrednosti emisije iz ugovora o poslednjoj rekonstrukciji postojećeg uređaja za smanjivanje emisija, odnosno iz ugovora o izgradnji ovakvog uređaja u slučaju da nije izvršena njegova rekonstrukcija, u periodu od dana stupanja na snagu ove uredbe do isteka 20.000 radnih časova postrojenja, a najkasnije do 1. jula 2022.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Emisije iz postojećih malih postrojenja za sagorevanje koja nadležni organ nije izuzeo zbog ograničenog veka trajanja moraju biti u skladu sa graničnim vrednostima emisija zagađujućih materija iz Priloga 3. pod B) u roku od pet godina od dana stupanja na snagu ove uredbe.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5" w:name="clan_36"/>
      <w:bookmarkEnd w:id="55"/>
      <w:r w:rsidRPr="00C11B63">
        <w:rPr>
          <w:rFonts w:ascii="Arial" w:eastAsia="Times New Roman" w:hAnsi="Arial" w:cs="Arial"/>
          <w:b/>
          <w:bCs/>
          <w:sz w:val="24"/>
          <w:szCs w:val="24"/>
          <w:lang w:eastAsia="sr-Latn-RS"/>
        </w:rPr>
        <w:t xml:space="preserve">Član 36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Tokom pokretanja i zaustavljanja velikog postrojenja za sagorevanje, u celini ili jednog njegovog dela, odredbe ove uredbe ne primenjuju se na to veliko postrojenje.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6" w:name="clan_37"/>
      <w:bookmarkEnd w:id="56"/>
      <w:r w:rsidRPr="00C11B63">
        <w:rPr>
          <w:rFonts w:ascii="Arial" w:eastAsia="Times New Roman" w:hAnsi="Arial" w:cs="Arial"/>
          <w:b/>
          <w:bCs/>
          <w:sz w:val="24"/>
          <w:szCs w:val="24"/>
          <w:lang w:eastAsia="sr-Latn-RS"/>
        </w:rPr>
        <w:t xml:space="preserve">Član 37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 postrojenja koja su obuhvaćena čl. 6. i 8. ove uredbe, operater je u obavezi da obezbedi nesmetan rad postojećeg uređaja za smanjivanje emisija, odnosno da obezbedi da emisije iz postrojenja za sagorevanje budu manje ili jednake garantovanoj vrednosti emisije iz ugovora o poslednjoj rekonstrukciji postojećeg uređaja za smanjivanje emisija, odnosno iz ugovora o izgradnji ovakvog uređaja u slučaju da nije izvršena njegova rekonstrukcija, u periodu od dana stupanja na snagu ove uredbe do isteka rokova iz čl. 6. i 8. ove uredbe.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7" w:name="clan_38"/>
      <w:bookmarkEnd w:id="57"/>
      <w:r w:rsidRPr="00C11B63">
        <w:rPr>
          <w:rFonts w:ascii="Arial" w:eastAsia="Times New Roman" w:hAnsi="Arial" w:cs="Arial"/>
          <w:b/>
          <w:bCs/>
          <w:sz w:val="24"/>
          <w:szCs w:val="24"/>
          <w:lang w:eastAsia="sr-Latn-RS"/>
        </w:rPr>
        <w:t xml:space="preserve">Član 38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Danom stupanja na snagu ove uredbe prestaje da važi Uredba o graničnim vrednostima emisija zagađujućih materija u vazduh ("Službeni glasnik RS", br. 71/10 i 6/11 - ispravka) i Pravilnik o graničnim vrednostima emisije, načinu i rokovima merenja i evidentiranja podataka ("Službeni glasnik RS", br. 30/97 i 35/97 - ispravka). </w:t>
      </w:r>
    </w:p>
    <w:p w:rsidR="00C11B63" w:rsidRPr="00C11B63" w:rsidRDefault="00C11B63" w:rsidP="00C11B63">
      <w:pPr>
        <w:spacing w:before="240" w:after="120" w:line="240" w:lineRule="auto"/>
        <w:jc w:val="center"/>
        <w:rPr>
          <w:rFonts w:ascii="Arial" w:eastAsia="Times New Roman" w:hAnsi="Arial" w:cs="Arial"/>
          <w:b/>
          <w:bCs/>
          <w:sz w:val="24"/>
          <w:szCs w:val="24"/>
          <w:lang w:eastAsia="sr-Latn-RS"/>
        </w:rPr>
      </w:pPr>
      <w:bookmarkStart w:id="58" w:name="clan_39"/>
      <w:bookmarkEnd w:id="58"/>
      <w:r w:rsidRPr="00C11B63">
        <w:rPr>
          <w:rFonts w:ascii="Arial" w:eastAsia="Times New Roman" w:hAnsi="Arial" w:cs="Arial"/>
          <w:b/>
          <w:bCs/>
          <w:sz w:val="24"/>
          <w:szCs w:val="24"/>
          <w:lang w:eastAsia="sr-Latn-RS"/>
        </w:rPr>
        <w:t xml:space="preserve">Član 39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Ova uredba stupa na snagu osmog dana od dana objavljivanja u "Službenom glasniku Republike Srbije".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bookmarkStart w:id="59" w:name="str_20"/>
      <w:bookmarkEnd w:id="59"/>
      <w:r w:rsidRPr="00C11B63">
        <w:rPr>
          <w:rFonts w:ascii="Arial" w:eastAsia="Times New Roman" w:hAnsi="Arial" w:cs="Arial"/>
          <w:b/>
          <w:bCs/>
          <w:sz w:val="31"/>
          <w:szCs w:val="31"/>
          <w:lang w:eastAsia="sr-Latn-RS"/>
        </w:rPr>
        <w:lastRenderedPageBreak/>
        <w:t xml:space="preserve">Prilog 1.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r w:rsidRPr="00C11B63">
        <w:rPr>
          <w:rFonts w:ascii="Arial" w:eastAsia="Times New Roman" w:hAnsi="Arial" w:cs="Arial"/>
          <w:b/>
          <w:bCs/>
          <w:sz w:val="31"/>
          <w:szCs w:val="31"/>
          <w:lang w:eastAsia="sr-Latn-RS"/>
        </w:rPr>
        <w:t xml:space="preserve">GRANIČNE VREDNOSTI EMISIJA ZA VELIKA POSTROJENJA ZA SAGOREVANJE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60" w:name="str_21"/>
      <w:bookmarkEnd w:id="60"/>
      <w:r w:rsidRPr="00C11B63">
        <w:rPr>
          <w:rFonts w:ascii="Arial" w:eastAsia="Times New Roman" w:hAnsi="Arial" w:cs="Arial"/>
          <w:sz w:val="28"/>
          <w:szCs w:val="28"/>
          <w:lang w:eastAsia="sr-Latn-RS"/>
        </w:rPr>
        <w:t>A) GRANIČNE VREDNOSTI EMISIJA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sz w:val="28"/>
          <w:szCs w:val="28"/>
          <w:lang w:eastAsia="sr-Latn-RS"/>
        </w:rPr>
        <w:t>), OKSIDE AZOTA NO</w:t>
      </w:r>
      <w:r w:rsidRPr="00C11B63">
        <w:rPr>
          <w:rFonts w:ascii="Arial" w:eastAsia="Times New Roman" w:hAnsi="Arial" w:cs="Arial"/>
          <w:sz w:val="15"/>
          <w:szCs w:val="15"/>
          <w:vertAlign w:val="subscript"/>
          <w:lang w:eastAsia="sr-Latn-RS"/>
        </w:rPr>
        <w:t>X</w:t>
      </w:r>
      <w:r w:rsidRPr="00C11B63">
        <w:rPr>
          <w:rFonts w:ascii="Arial" w:eastAsia="Times New Roman" w:hAnsi="Arial" w:cs="Arial"/>
          <w:sz w:val="28"/>
          <w:szCs w:val="28"/>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sz w:val="28"/>
          <w:szCs w:val="28"/>
          <w:lang w:eastAsia="sr-Latn-RS"/>
        </w:rPr>
        <w:t xml:space="preserve">), PRAŠKASTE MATERIJE I UGLJEN MONOKSID (CO) ZA STARA VELIKA POSTROJENJA ZA SAGOREVANJE 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U skladu sa članom 5. stav 1. ove uredbe granične vrednosti emisija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okside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praškaste materije i ugljen monoksid (CO) za stara velika postrojenja za sagorevanje određuju se na sledeći način: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61" w:name="str_22"/>
      <w:bookmarkEnd w:id="61"/>
      <w:r w:rsidRPr="00C11B63">
        <w:rPr>
          <w:rFonts w:ascii="Arial" w:eastAsia="Times New Roman" w:hAnsi="Arial" w:cs="Arial"/>
          <w:b/>
          <w:bCs/>
          <w:sz w:val="24"/>
          <w:szCs w:val="24"/>
          <w:lang w:eastAsia="sr-Latn-RS"/>
        </w:rPr>
        <w:t xml:space="preserve">Deo 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GRANIČNE VREDNOSTI EMISIJA ZA SUMPOR DIOKSID (SO</w:t>
      </w:r>
      <w:r w:rsidRPr="00C11B63">
        <w:rPr>
          <w:rFonts w:ascii="Arial" w:eastAsia="Times New Roman" w:hAnsi="Arial" w:cs="Arial"/>
          <w:b/>
          <w:bCs/>
          <w:sz w:val="15"/>
          <w:szCs w:val="15"/>
          <w:vertAlign w:val="subscript"/>
          <w:lang w:eastAsia="sr-Latn-RS"/>
        </w:rPr>
        <w:t>2</w:t>
      </w:r>
      <w:r w:rsidRPr="00C11B63">
        <w:rPr>
          <w:rFonts w:ascii="Arial" w:eastAsia="Times New Roman" w:hAnsi="Arial" w:cs="Arial"/>
          <w:b/>
          <w:bCs/>
          <w:sz w:val="24"/>
          <w:szCs w:val="24"/>
          <w:lang w:eastAsia="sr-Latn-RS"/>
        </w:rPr>
        <w:t xml:space="preserve">) </w:t>
      </w:r>
    </w:p>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1. Čvrsta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Granične vrednosti emisija za sumpor dioksid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(udeo 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6%) koje se primenjuju na stara postrojenja, date su na grafikonu: </w:t>
      </w:r>
    </w:p>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029200" cy="3524250"/>
            <wp:effectExtent l="0" t="0" r="0" b="0"/>
            <wp:docPr id="4" name="Picture 4" descr="C:\Program Files (x86)\ParagrafLex\browser\Files\Old\t\t2016_01\t01_0443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6_01\t01_0443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9200" cy="3524250"/>
                    </a:xfrm>
                    <a:prstGeom prst="rect">
                      <a:avLst/>
                    </a:prstGeom>
                    <a:noFill/>
                    <a:ln>
                      <a:noFill/>
                    </a:ln>
                  </pic:spPr>
                </pic:pic>
              </a:graphicData>
            </a:graphic>
          </wp:inline>
        </w:drawing>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 postrojenja toplotne snage od 100 do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granične vrednosti emisija za sumpor dioksid izračunavaju se prema jednačini: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y = -4x + 2400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gde su: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x - toplotna snaga postrojenja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y - granična vrednost emisije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(mg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Napomena: Ako se napred navedene granične vrednosti emisija ne mogu postići zbog karakteristika goriva, mora se postići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od najmanje 60% u postrojenjima sa toplotnom snagom od 100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ili manjom, 75% za postrojenja sa toplotnom snagom većom od 100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manjom ili jednakom 300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90% za postrojenja sa toplotnom snagom većom od 300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Za postrojenja sa toplotnom snagom većom od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mora se postići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od najmanje 94%. </w:t>
      </w:r>
    </w:p>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2. Tečna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Granične vrednosti emisija za sumpor dioksid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(udeo 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3%) koje se primenjuju na stara postrojenja, date su na grafikonu: </w:t>
      </w:r>
    </w:p>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5372100" cy="3562350"/>
            <wp:effectExtent l="0" t="0" r="0" b="0"/>
            <wp:docPr id="3" name="Picture 3" descr="C:\Program Files (x86)\ParagrafLex\browser\Files\Old\t\t2016_01\t01_0443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6_01\t01_0443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2100" cy="3562350"/>
                    </a:xfrm>
                    <a:prstGeom prst="rect">
                      <a:avLst/>
                    </a:prstGeom>
                    <a:noFill/>
                    <a:ln>
                      <a:noFill/>
                    </a:ln>
                  </pic:spPr>
                </pic:pic>
              </a:graphicData>
            </a:graphic>
          </wp:inline>
        </w:drawing>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 postrojenja toplotne snage od 300 do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granične vrednosti emisija za sumpor dioksid izračunavaju se prema jednačini: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y = -6,5x + 3650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gde su: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x - toplotna snaga postrojenja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y - granična vrednost emisije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(mg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3. Gasovita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Granične vrednosti emisija za sumpor dioksid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(udeo 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3%) koje se primenjuju na stara postrojenja,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20"/>
        <w:gridCol w:w="2112"/>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gasovita goriva generalno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tečni naftni gas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gasovi niske toplotne moći iz procesa </w:t>
            </w:r>
            <w:proofErr w:type="spellStart"/>
            <w:r w:rsidRPr="00C11B63">
              <w:rPr>
                <w:rFonts w:ascii="Arial" w:eastAsia="Times New Roman" w:hAnsi="Arial" w:cs="Arial"/>
                <w:lang w:eastAsia="sr-Latn-RS"/>
              </w:rPr>
              <w:t>gasifikacije</w:t>
            </w:r>
            <w:proofErr w:type="spellEnd"/>
            <w:r w:rsidRPr="00C11B63">
              <w:rPr>
                <w:rFonts w:ascii="Arial" w:eastAsia="Times New Roman" w:hAnsi="Arial" w:cs="Arial"/>
                <w:lang w:eastAsia="sr-Latn-RS"/>
              </w:rPr>
              <w:t xml:space="preserve"> </w:t>
            </w:r>
            <w:proofErr w:type="spellStart"/>
            <w:r w:rsidRPr="00C11B63">
              <w:rPr>
                <w:rFonts w:ascii="Arial" w:eastAsia="Times New Roman" w:hAnsi="Arial" w:cs="Arial"/>
                <w:lang w:eastAsia="sr-Latn-RS"/>
              </w:rPr>
              <w:t>rafinerijskih</w:t>
            </w:r>
            <w:proofErr w:type="spellEnd"/>
            <w:r w:rsidRPr="00C11B63">
              <w:rPr>
                <w:rFonts w:ascii="Arial" w:eastAsia="Times New Roman" w:hAnsi="Arial" w:cs="Arial"/>
                <w:lang w:eastAsia="sr-Latn-RS"/>
              </w:rPr>
              <w:t xml:space="preserve"> ostataka, gas iz </w:t>
            </w:r>
            <w:proofErr w:type="spellStart"/>
            <w:r w:rsidRPr="00C11B63">
              <w:rPr>
                <w:rFonts w:ascii="Arial" w:eastAsia="Times New Roman" w:hAnsi="Arial" w:cs="Arial"/>
                <w:lang w:eastAsia="sr-Latn-RS"/>
              </w:rPr>
              <w:t>koksnih</w:t>
            </w:r>
            <w:proofErr w:type="spellEnd"/>
            <w:r w:rsidRPr="00C11B63">
              <w:rPr>
                <w:rFonts w:ascii="Arial" w:eastAsia="Times New Roman" w:hAnsi="Arial" w:cs="Arial"/>
                <w:lang w:eastAsia="sr-Latn-RS"/>
              </w:rPr>
              <w:t xml:space="preserve"> peći, gas iz visokih peći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800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gas iz procesa </w:t>
            </w:r>
            <w:proofErr w:type="spellStart"/>
            <w:r w:rsidRPr="00C11B63">
              <w:rPr>
                <w:rFonts w:ascii="Arial" w:eastAsia="Times New Roman" w:hAnsi="Arial" w:cs="Arial"/>
                <w:lang w:eastAsia="sr-Latn-RS"/>
              </w:rPr>
              <w:t>gasifikacije</w:t>
            </w:r>
            <w:proofErr w:type="spellEnd"/>
            <w:r w:rsidRPr="00C11B63">
              <w:rPr>
                <w:rFonts w:ascii="Arial" w:eastAsia="Times New Roman" w:hAnsi="Arial" w:cs="Arial"/>
                <w:lang w:eastAsia="sr-Latn-RS"/>
              </w:rPr>
              <w:t xml:space="preserve"> uglja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 xml:space="preserve">(1)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i/>
          <w:iCs/>
          <w:lang w:eastAsia="sr-Latn-RS"/>
        </w:rPr>
        <w:t>vrednost će biti naknadno utvrđena</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62" w:name="str_23"/>
      <w:bookmarkEnd w:id="62"/>
      <w:r w:rsidRPr="00C11B63">
        <w:rPr>
          <w:rFonts w:ascii="Arial" w:eastAsia="Times New Roman" w:hAnsi="Arial" w:cs="Arial"/>
          <w:b/>
          <w:bCs/>
          <w:sz w:val="24"/>
          <w:szCs w:val="24"/>
          <w:lang w:eastAsia="sr-Latn-RS"/>
        </w:rPr>
        <w:t xml:space="preserve">Deo 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OKSIDE AZOTA </w:t>
      </w:r>
      <w:proofErr w:type="spellStart"/>
      <w:r w:rsidRPr="00C11B63">
        <w:rPr>
          <w:rFonts w:ascii="Arial" w:eastAsia="Times New Roman" w:hAnsi="Arial" w:cs="Arial"/>
          <w:b/>
          <w:bCs/>
          <w:sz w:val="24"/>
          <w:szCs w:val="24"/>
          <w:lang w:eastAsia="sr-Latn-RS"/>
        </w:rPr>
        <w:t>NO</w:t>
      </w:r>
      <w:r w:rsidRPr="00C11B63">
        <w:rPr>
          <w:rFonts w:ascii="Arial" w:eastAsia="Times New Roman" w:hAnsi="Arial" w:cs="Arial"/>
          <w:b/>
          <w:bCs/>
          <w:sz w:val="15"/>
          <w:szCs w:val="15"/>
          <w:vertAlign w:val="subscript"/>
          <w:lang w:eastAsia="sr-Latn-RS"/>
        </w:rPr>
        <w:t>x</w:t>
      </w:r>
      <w:proofErr w:type="spellEnd"/>
      <w:r w:rsidRPr="00C11B63">
        <w:rPr>
          <w:rFonts w:ascii="Arial" w:eastAsia="Times New Roman" w:hAnsi="Arial" w:cs="Arial"/>
          <w:b/>
          <w:bCs/>
          <w:sz w:val="24"/>
          <w:szCs w:val="24"/>
          <w:lang w:eastAsia="sr-Latn-RS"/>
        </w:rPr>
        <w:t xml:space="preserve"> (IZRAŽENE KAO NO</w:t>
      </w:r>
      <w:r w:rsidRPr="00C11B63">
        <w:rPr>
          <w:rFonts w:ascii="Arial" w:eastAsia="Times New Roman" w:hAnsi="Arial" w:cs="Arial"/>
          <w:b/>
          <w:bCs/>
          <w:sz w:val="15"/>
          <w:szCs w:val="15"/>
          <w:vertAlign w:val="subscript"/>
          <w:lang w:eastAsia="sr-Latn-RS"/>
        </w:rPr>
        <w:t>2</w:t>
      </w:r>
      <w:r w:rsidRPr="00C11B63">
        <w:rPr>
          <w:rFonts w:ascii="Arial" w:eastAsia="Times New Roman" w:hAnsi="Arial" w:cs="Arial"/>
          <w:b/>
          <w:bCs/>
          <w:sz w:val="24"/>
          <w:szCs w:val="24"/>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Granične vrednosti emisija za okside azota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(udeo 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6% za čvrsta goriva, 3% za tečna i gasovita goriva) koje se primenjuju na stara postrojenja,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671"/>
        <w:gridCol w:w="4461"/>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Čvrsta goriva </w:t>
            </w: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do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600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Od 1. januara 2018. godine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do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600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do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Gasovita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do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i/>
          <w:iCs/>
          <w:lang w:eastAsia="sr-Latn-RS"/>
        </w:rPr>
        <w:t>Od 1. januara 2018. godine, na postrojenja koja neće raditi više od 1500 časova godišnje (u petogodišnjem proseku), primenjuje se granična vrednost emisije od 450 mg/normalni m</w:t>
      </w:r>
      <w:r w:rsidRPr="00C11B63">
        <w:rPr>
          <w:rFonts w:ascii="Arial" w:eastAsia="Times New Roman" w:hAnsi="Arial" w:cs="Arial"/>
          <w:i/>
          <w:iCs/>
          <w:sz w:val="15"/>
          <w:szCs w:val="15"/>
          <w:vertAlign w:val="superscript"/>
          <w:lang w:eastAsia="sr-Latn-RS"/>
        </w:rPr>
        <w:t>3</w:t>
      </w:r>
      <w:r w:rsidRPr="00C11B63">
        <w:rPr>
          <w:rFonts w:ascii="Arial" w:eastAsia="Times New Roman" w:hAnsi="Arial" w:cs="Arial"/>
          <w:i/>
          <w:iCs/>
          <w:lang w:eastAsia="sr-Latn-RS"/>
        </w:rPr>
        <w:t xml:space="preserve">.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63" w:name="str_24"/>
      <w:bookmarkEnd w:id="63"/>
      <w:r w:rsidRPr="00C11B63">
        <w:rPr>
          <w:rFonts w:ascii="Arial" w:eastAsia="Times New Roman" w:hAnsi="Arial" w:cs="Arial"/>
          <w:b/>
          <w:bCs/>
          <w:sz w:val="24"/>
          <w:szCs w:val="24"/>
          <w:lang w:eastAsia="sr-Latn-RS"/>
        </w:rPr>
        <w:t xml:space="preserve">Deo III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PRAŠKASTE MATERIJE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Granične vrednosti emisija za praškaste materije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(udeo 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6% za čvrsta goriva, 3% za tečna i gasovita goriva) koje se primenjuju na stara postrojenja,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Tabela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153"/>
        <w:gridCol w:w="2035"/>
        <w:gridCol w:w="5944"/>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Granična vrednost emisije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Čvrsto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500</w:t>
            </w:r>
            <w:r w:rsidRPr="00C11B63">
              <w:rPr>
                <w:rFonts w:ascii="Arial" w:eastAsia="Times New Roman" w:hAnsi="Arial" w:cs="Arial"/>
                <w:lang w:eastAsia="sr-Latn-RS"/>
              </w:rPr>
              <w:br/>
              <w:t xml:space="preserve">&lt; 500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w:t>
            </w:r>
            <w:r w:rsidRPr="00C11B63">
              <w:rPr>
                <w:rFonts w:ascii="Arial" w:eastAsia="Times New Roman" w:hAnsi="Arial" w:cs="Arial"/>
                <w:b/>
                <w:bCs/>
                <w:sz w:val="15"/>
                <w:szCs w:val="15"/>
                <w:vertAlign w:val="superscript"/>
                <w:lang w:eastAsia="sr-Latn-RS"/>
              </w:rPr>
              <w:t>(2)</w:t>
            </w:r>
            <w:r w:rsidRPr="00C11B63">
              <w:rPr>
                <w:rFonts w:ascii="Arial" w:eastAsia="Times New Roman" w:hAnsi="Arial" w:cs="Arial"/>
                <w:lang w:eastAsia="sr-Latn-RS"/>
              </w:rPr>
              <w:br/>
              <w:t xml:space="preserve">100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Tečno </w:t>
            </w:r>
            <w:r w:rsidRPr="00C11B63">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postrojenja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Gasovito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postrojenja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5 (po pravilu)</w:t>
            </w:r>
            <w:r w:rsidRPr="00C11B63">
              <w:rPr>
                <w:rFonts w:ascii="Arial" w:eastAsia="Times New Roman" w:hAnsi="Arial" w:cs="Arial"/>
                <w:lang w:eastAsia="sr-Latn-RS"/>
              </w:rPr>
              <w:br/>
              <w:t>10 (za gas iz visoke peći)</w:t>
            </w:r>
            <w:r w:rsidRPr="00C11B63">
              <w:rPr>
                <w:rFonts w:ascii="Arial" w:eastAsia="Times New Roman" w:hAnsi="Arial" w:cs="Arial"/>
                <w:lang w:eastAsia="sr-Latn-RS"/>
              </w:rPr>
              <w:br/>
              <w:t xml:space="preserve">50 (za gas nastao u industriji čelika, a koji se može koristiti na drugom mestu)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i/>
          <w:iCs/>
          <w:lang w:eastAsia="sr-Latn-RS"/>
        </w:rPr>
        <w:t>Granična vrednost emisije od 100 mg/normalni m</w:t>
      </w:r>
      <w:r w:rsidRPr="00C11B63">
        <w:rPr>
          <w:rFonts w:ascii="Arial" w:eastAsia="Times New Roman" w:hAnsi="Arial" w:cs="Arial"/>
          <w:i/>
          <w:iCs/>
          <w:sz w:val="15"/>
          <w:szCs w:val="15"/>
          <w:vertAlign w:val="superscript"/>
          <w:lang w:eastAsia="sr-Latn-RS"/>
        </w:rPr>
        <w:t>3</w:t>
      </w:r>
      <w:r w:rsidRPr="00C11B63">
        <w:rPr>
          <w:rFonts w:ascii="Arial" w:eastAsia="Times New Roman" w:hAnsi="Arial" w:cs="Arial"/>
          <w:i/>
          <w:iCs/>
          <w:lang w:eastAsia="sr-Latn-RS"/>
        </w:rPr>
        <w:t xml:space="preserve"> može se primeniti na postrojenja za sagorevanje ulazne toplotne snage manje od 500 </w:t>
      </w:r>
      <w:proofErr w:type="spellStart"/>
      <w:r w:rsidRPr="00C11B63">
        <w:rPr>
          <w:rFonts w:ascii="Arial" w:eastAsia="Times New Roman" w:hAnsi="Arial" w:cs="Arial"/>
          <w:i/>
          <w:iCs/>
          <w:lang w:eastAsia="sr-Latn-RS"/>
        </w:rPr>
        <w:t>MWth</w:t>
      </w:r>
      <w:proofErr w:type="spellEnd"/>
      <w:r w:rsidRPr="00C11B63">
        <w:rPr>
          <w:rFonts w:ascii="Arial" w:eastAsia="Times New Roman" w:hAnsi="Arial" w:cs="Arial"/>
          <w:i/>
          <w:iCs/>
          <w:lang w:eastAsia="sr-Latn-RS"/>
        </w:rPr>
        <w:t xml:space="preserve"> ako koriste tečno gorivo sa </w:t>
      </w:r>
      <w:proofErr w:type="spellStart"/>
      <w:r w:rsidRPr="00C11B63">
        <w:rPr>
          <w:rFonts w:ascii="Arial" w:eastAsia="Times New Roman" w:hAnsi="Arial" w:cs="Arial"/>
          <w:i/>
          <w:iCs/>
          <w:lang w:eastAsia="sr-Latn-RS"/>
        </w:rPr>
        <w:t>udelom</w:t>
      </w:r>
      <w:proofErr w:type="spellEnd"/>
      <w:r w:rsidRPr="00C11B63">
        <w:rPr>
          <w:rFonts w:ascii="Arial" w:eastAsia="Times New Roman" w:hAnsi="Arial" w:cs="Arial"/>
          <w:i/>
          <w:iCs/>
          <w:lang w:eastAsia="sr-Latn-RS"/>
        </w:rPr>
        <w:t xml:space="preserve"> pepela većim od 0,06%.</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(2)</w:t>
      </w:r>
      <w:r w:rsidRPr="00C11B63">
        <w:rPr>
          <w:rFonts w:ascii="Arial" w:eastAsia="Times New Roman" w:hAnsi="Arial" w:cs="Arial"/>
          <w:i/>
          <w:iCs/>
          <w:lang w:eastAsia="sr-Latn-RS"/>
        </w:rPr>
        <w:t>Granična vrednost emisije od 100 mg/normalni m</w:t>
      </w:r>
      <w:r w:rsidRPr="00C11B63">
        <w:rPr>
          <w:rFonts w:ascii="Arial" w:eastAsia="Times New Roman" w:hAnsi="Arial" w:cs="Arial"/>
          <w:i/>
          <w:iCs/>
          <w:sz w:val="15"/>
          <w:szCs w:val="15"/>
          <w:vertAlign w:val="superscript"/>
          <w:lang w:eastAsia="sr-Latn-RS"/>
        </w:rPr>
        <w:t xml:space="preserve">3 </w:t>
      </w:r>
      <w:r w:rsidRPr="00C11B63">
        <w:rPr>
          <w:rFonts w:ascii="Arial" w:eastAsia="Times New Roman" w:hAnsi="Arial" w:cs="Arial"/>
          <w:i/>
          <w:iCs/>
          <w:lang w:eastAsia="sr-Latn-RS"/>
        </w:rPr>
        <w:t xml:space="preserve">može se primeniti na postrojenja za sagorevanje ulazne toplotne snage jednake ili veće od 500 </w:t>
      </w:r>
      <w:proofErr w:type="spellStart"/>
      <w:r w:rsidRPr="00C11B63">
        <w:rPr>
          <w:rFonts w:ascii="Arial" w:eastAsia="Times New Roman" w:hAnsi="Arial" w:cs="Arial"/>
          <w:i/>
          <w:iCs/>
          <w:lang w:eastAsia="sr-Latn-RS"/>
        </w:rPr>
        <w:t>MWth</w:t>
      </w:r>
      <w:proofErr w:type="spellEnd"/>
      <w:r w:rsidRPr="00C11B63">
        <w:rPr>
          <w:rFonts w:ascii="Arial" w:eastAsia="Times New Roman" w:hAnsi="Arial" w:cs="Arial"/>
          <w:i/>
          <w:iCs/>
          <w:lang w:eastAsia="sr-Latn-RS"/>
        </w:rPr>
        <w:t xml:space="preserve"> koja sagorevaju čvrsto gorivo čija je toplotna moć manja od 5800 </w:t>
      </w:r>
      <w:proofErr w:type="spellStart"/>
      <w:r w:rsidRPr="00C11B63">
        <w:rPr>
          <w:rFonts w:ascii="Arial" w:eastAsia="Times New Roman" w:hAnsi="Arial" w:cs="Arial"/>
          <w:i/>
          <w:iCs/>
          <w:lang w:eastAsia="sr-Latn-RS"/>
        </w:rPr>
        <w:t>kJ</w:t>
      </w:r>
      <w:proofErr w:type="spellEnd"/>
      <w:r w:rsidRPr="00C11B63">
        <w:rPr>
          <w:rFonts w:ascii="Arial" w:eastAsia="Times New Roman" w:hAnsi="Arial" w:cs="Arial"/>
          <w:i/>
          <w:iCs/>
          <w:lang w:eastAsia="sr-Latn-RS"/>
        </w:rPr>
        <w:t xml:space="preserve">/kg (neto </w:t>
      </w:r>
      <w:proofErr w:type="spellStart"/>
      <w:r w:rsidRPr="00C11B63">
        <w:rPr>
          <w:rFonts w:ascii="Arial" w:eastAsia="Times New Roman" w:hAnsi="Arial" w:cs="Arial"/>
          <w:i/>
          <w:iCs/>
          <w:lang w:eastAsia="sr-Latn-RS"/>
        </w:rPr>
        <w:t>kalorijska</w:t>
      </w:r>
      <w:proofErr w:type="spellEnd"/>
      <w:r w:rsidRPr="00C11B63">
        <w:rPr>
          <w:rFonts w:ascii="Arial" w:eastAsia="Times New Roman" w:hAnsi="Arial" w:cs="Arial"/>
          <w:i/>
          <w:iCs/>
          <w:lang w:eastAsia="sr-Latn-RS"/>
        </w:rPr>
        <w:t xml:space="preserve"> vrednost), sadržaj vlage veći od 45 </w:t>
      </w:r>
      <w:proofErr w:type="spellStart"/>
      <w:r w:rsidRPr="00C11B63">
        <w:rPr>
          <w:rFonts w:ascii="Arial" w:eastAsia="Times New Roman" w:hAnsi="Arial" w:cs="Arial"/>
          <w:i/>
          <w:iCs/>
          <w:lang w:eastAsia="sr-Latn-RS"/>
        </w:rPr>
        <w:t>masenih</w:t>
      </w:r>
      <w:proofErr w:type="spellEnd"/>
      <w:r w:rsidRPr="00C11B63">
        <w:rPr>
          <w:rFonts w:ascii="Arial" w:eastAsia="Times New Roman" w:hAnsi="Arial" w:cs="Arial"/>
          <w:i/>
          <w:iCs/>
          <w:lang w:eastAsia="sr-Latn-RS"/>
        </w:rPr>
        <w:t xml:space="preserve"> %, ukupni </w:t>
      </w:r>
      <w:proofErr w:type="spellStart"/>
      <w:r w:rsidRPr="00C11B63">
        <w:rPr>
          <w:rFonts w:ascii="Arial" w:eastAsia="Times New Roman" w:hAnsi="Arial" w:cs="Arial"/>
          <w:i/>
          <w:iCs/>
          <w:lang w:eastAsia="sr-Latn-RS"/>
        </w:rPr>
        <w:t>maseni</w:t>
      </w:r>
      <w:proofErr w:type="spellEnd"/>
      <w:r w:rsidRPr="00C11B63">
        <w:rPr>
          <w:rFonts w:ascii="Arial" w:eastAsia="Times New Roman" w:hAnsi="Arial" w:cs="Arial"/>
          <w:i/>
          <w:iCs/>
          <w:lang w:eastAsia="sr-Latn-RS"/>
        </w:rPr>
        <w:t xml:space="preserve"> udeo vlage i pepela veći od 60% i udeo kalcijum oksida (</w:t>
      </w:r>
      <w:proofErr w:type="spellStart"/>
      <w:r w:rsidRPr="00C11B63">
        <w:rPr>
          <w:rFonts w:ascii="Arial" w:eastAsia="Times New Roman" w:hAnsi="Arial" w:cs="Arial"/>
          <w:i/>
          <w:iCs/>
          <w:lang w:eastAsia="sr-Latn-RS"/>
        </w:rPr>
        <w:t>CaO</w:t>
      </w:r>
      <w:proofErr w:type="spellEnd"/>
      <w:r w:rsidRPr="00C11B63">
        <w:rPr>
          <w:rFonts w:ascii="Arial" w:eastAsia="Times New Roman" w:hAnsi="Arial" w:cs="Arial"/>
          <w:i/>
          <w:iCs/>
          <w:lang w:eastAsia="sr-Latn-RS"/>
        </w:rPr>
        <w:t>) veći od 10%</w:t>
      </w:r>
      <w:r w:rsidRPr="00C11B63">
        <w:rPr>
          <w:rFonts w:ascii="Arial" w:eastAsia="Times New Roman" w:hAnsi="Arial" w:cs="Arial"/>
          <w:lang w:eastAsia="sr-Latn-RS"/>
        </w:rPr>
        <w:t xml:space="preserve">.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64" w:name="str_25"/>
      <w:bookmarkEnd w:id="64"/>
      <w:r w:rsidRPr="00C11B63">
        <w:rPr>
          <w:rFonts w:ascii="Arial" w:eastAsia="Times New Roman" w:hAnsi="Arial" w:cs="Arial"/>
          <w:b/>
          <w:bCs/>
          <w:sz w:val="24"/>
          <w:szCs w:val="24"/>
          <w:lang w:eastAsia="sr-Latn-RS"/>
        </w:rPr>
        <w:t xml:space="preserve">Deo IV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GRANIČNA VREDNOST EMISIJE ZA UGLJEN MONOKSID (CO)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Granična vrednost emisije za ugljen monoksid za stara postrojenja koja koriste čvrsta goriva i goriva iz biomase je 250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Granična vrednost emisije za ugljen monoksid za stara postrojenja koja koriste tečna goriva je 175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Granična vrednost emisije za ugljen monoksid za stara postrojenja koja koriste gasovita goriva je 100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65" w:name="str_26"/>
      <w:bookmarkEnd w:id="65"/>
      <w:r w:rsidRPr="00C11B63">
        <w:rPr>
          <w:rFonts w:ascii="Arial" w:eastAsia="Times New Roman" w:hAnsi="Arial" w:cs="Arial"/>
          <w:sz w:val="28"/>
          <w:szCs w:val="28"/>
          <w:lang w:eastAsia="sr-Latn-RS"/>
        </w:rPr>
        <w:t>B) GRANIČNE VREDNOSTI EMISIJA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sz w:val="28"/>
          <w:szCs w:val="28"/>
          <w:lang w:eastAsia="sr-Latn-RS"/>
        </w:rPr>
        <w:t>), OKSIDE AZOTA NO</w:t>
      </w:r>
      <w:r w:rsidRPr="00C11B63">
        <w:rPr>
          <w:rFonts w:ascii="Arial" w:eastAsia="Times New Roman" w:hAnsi="Arial" w:cs="Arial"/>
          <w:sz w:val="15"/>
          <w:szCs w:val="15"/>
          <w:vertAlign w:val="subscript"/>
          <w:lang w:eastAsia="sr-Latn-RS"/>
        </w:rPr>
        <w:t>X</w:t>
      </w:r>
      <w:r w:rsidRPr="00C11B63">
        <w:rPr>
          <w:rFonts w:ascii="Arial" w:eastAsia="Times New Roman" w:hAnsi="Arial" w:cs="Arial"/>
          <w:sz w:val="28"/>
          <w:szCs w:val="28"/>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sz w:val="28"/>
          <w:szCs w:val="28"/>
          <w:lang w:eastAsia="sr-Latn-RS"/>
        </w:rPr>
        <w:t xml:space="preserve">), PRAŠKASTE MATERIJE I UGLJEN MONOKSID (CO) ZA POSTOJEĆA VELIKA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Sve granične vrednosti emisije izračunavaju se pri temperaturi od 273,15 K, pritisku od 101,3 </w:t>
      </w:r>
      <w:proofErr w:type="spellStart"/>
      <w:r w:rsidRPr="00C11B63">
        <w:rPr>
          <w:rFonts w:ascii="Arial" w:eastAsia="Times New Roman" w:hAnsi="Arial" w:cs="Arial"/>
          <w:lang w:eastAsia="sr-Latn-RS"/>
        </w:rPr>
        <w:t>kPa</w:t>
      </w:r>
      <w:proofErr w:type="spellEnd"/>
      <w:r w:rsidRPr="00C11B63">
        <w:rPr>
          <w:rFonts w:ascii="Arial" w:eastAsia="Times New Roman" w:hAnsi="Arial" w:cs="Arial"/>
          <w:lang w:eastAsia="sr-Latn-RS"/>
        </w:rPr>
        <w:t xml:space="preserve"> i nakon korekcije na sadržaj vodene pare u otpadnim gasovima i pri udelu kiseonika od 6% za čvrsta goriva, 3% za postrojenja za sagorevanje, osim gasnih turbina i gasnih motora koji koriste tečno i gasovito gorivo i 15% za gasne turbine i gasne motore.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2. Granične vrednosti emisija za sumpor dioksid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čvrsta ili tečna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51"/>
        <w:gridCol w:w="3165"/>
        <w:gridCol w:w="916"/>
        <w:gridCol w:w="684"/>
        <w:gridCol w:w="131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Ukupna toplotna snaga </w:t>
            </w:r>
            <w:r w:rsidRPr="00C11B63">
              <w:rPr>
                <w:rFonts w:ascii="Arial" w:eastAsia="Times New Roman" w:hAnsi="Arial" w:cs="Arial"/>
                <w:lang w:eastAsia="sr-Latn-RS"/>
              </w:rPr>
              <w:lastRenderedPageBreak/>
              <w:t>(</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Ugalj i lignit i druga čvrsta </w:t>
            </w:r>
            <w:r w:rsidRPr="00C11B63">
              <w:rPr>
                <w:rFonts w:ascii="Arial" w:eastAsia="Times New Roman" w:hAnsi="Arial" w:cs="Arial"/>
                <w:lang w:eastAsia="sr-Latn-RS"/>
              </w:rPr>
              <w:lastRenderedPageBreak/>
              <w:t xml:space="preserve">goriva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Biomasa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Treset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Tečna </w:t>
            </w:r>
            <w:r w:rsidRPr="00C11B63">
              <w:rPr>
                <w:rFonts w:ascii="Arial" w:eastAsia="Times New Roman" w:hAnsi="Arial" w:cs="Arial"/>
                <w:lang w:eastAsia="sr-Latn-RS"/>
              </w:rPr>
              <w:lastRenderedPageBreak/>
              <w:t xml:space="preserve">goriva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50-100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100-300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 postrojenja za sagorevanje koja koriste čvrsta goriva koja ne rade više od 1500 radnih časova godišnje u petogodišnjem proseku primenjuje se granična vrednost emisije za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od 800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 postrojenja za sagorevanje koja koriste tečna goriva koja ne rade više od 1500 radnih časova godišnje u petogodišnjem proseku primenjuje se granična vrednost emisije za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od 850 mg/normalni m</w:t>
      </w:r>
      <w:r w:rsidRPr="00C11B63">
        <w:rPr>
          <w:rFonts w:ascii="Arial" w:eastAsia="Times New Roman" w:hAnsi="Arial" w:cs="Arial"/>
          <w:sz w:val="15"/>
          <w:szCs w:val="15"/>
          <w:vertAlign w:val="superscript"/>
          <w:lang w:eastAsia="sr-Latn-RS"/>
        </w:rPr>
        <w:t xml:space="preserve">3 </w:t>
      </w:r>
      <w:r w:rsidRPr="00C11B63">
        <w:rPr>
          <w:rFonts w:ascii="Arial" w:eastAsia="Times New Roman" w:hAnsi="Arial" w:cs="Arial"/>
          <w:lang w:eastAsia="sr-Latn-RS"/>
        </w:rPr>
        <w:t xml:space="preserve">u slučaju postrojenja sa ukupnom ulaznom toplotnom snagom do 300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i granična vrednost emisije za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od 400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u slučaju postrojenja sa ukupnom ulaznom toplotnom snagom većom od 300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deo postrojenja za sagorevanje koje ispušta otpadne gasove kroz jednu ili više odvojenih </w:t>
      </w:r>
      <w:proofErr w:type="spellStart"/>
      <w:r w:rsidRPr="00C11B63">
        <w:rPr>
          <w:rFonts w:ascii="Arial" w:eastAsia="Times New Roman" w:hAnsi="Arial" w:cs="Arial"/>
          <w:lang w:eastAsia="sr-Latn-RS"/>
        </w:rPr>
        <w:t>dimovodnih</w:t>
      </w:r>
      <w:proofErr w:type="spellEnd"/>
      <w:r w:rsidRPr="00C11B63">
        <w:rPr>
          <w:rFonts w:ascii="Arial" w:eastAsia="Times New Roman" w:hAnsi="Arial" w:cs="Arial"/>
          <w:lang w:eastAsia="sr-Latn-RS"/>
        </w:rPr>
        <w:t xml:space="preserve"> cevi putem zajedničkog dimnjaka i koji ne radi više od 1500 radnih časova godišnje u petogodišnjem proseku, mogu se primenjivati granične vrednosti emisije iz prethodna dva stava u odnosu na ukupnu ulaznu toplotnu snagu celog postrojenja za sagorevanje. U takvim slučajevima, emisije kroz svaku od </w:t>
      </w:r>
      <w:proofErr w:type="spellStart"/>
      <w:r w:rsidRPr="00C11B63">
        <w:rPr>
          <w:rFonts w:ascii="Arial" w:eastAsia="Times New Roman" w:hAnsi="Arial" w:cs="Arial"/>
          <w:lang w:eastAsia="sr-Latn-RS"/>
        </w:rPr>
        <w:t>dimovodnih</w:t>
      </w:r>
      <w:proofErr w:type="spellEnd"/>
      <w:r w:rsidRPr="00C11B63">
        <w:rPr>
          <w:rFonts w:ascii="Arial" w:eastAsia="Times New Roman" w:hAnsi="Arial" w:cs="Arial"/>
          <w:lang w:eastAsia="sr-Latn-RS"/>
        </w:rPr>
        <w:t xml:space="preserve"> cevi mere se odvojeno i preračunavaju na uslove koji važe za sve </w:t>
      </w:r>
      <w:proofErr w:type="spellStart"/>
      <w:r w:rsidRPr="00C11B63">
        <w:rPr>
          <w:rFonts w:ascii="Arial" w:eastAsia="Times New Roman" w:hAnsi="Arial" w:cs="Arial"/>
          <w:lang w:eastAsia="sr-Latn-RS"/>
        </w:rPr>
        <w:t>dimovodne</w:t>
      </w:r>
      <w:proofErr w:type="spellEnd"/>
      <w:r w:rsidRPr="00C11B63">
        <w:rPr>
          <w:rFonts w:ascii="Arial" w:eastAsia="Times New Roman" w:hAnsi="Arial" w:cs="Arial"/>
          <w:lang w:eastAsia="sr-Latn-RS"/>
        </w:rPr>
        <w:t xml:space="preserve"> cevi u istom dimnjaku.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3. Granične vrednosti emisija za sumpor dioksid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gasovita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250"/>
        <w:gridCol w:w="3882"/>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gasovita goriva generalno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tečni naftni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niskokalorični</w:t>
            </w:r>
            <w:proofErr w:type="spellEnd"/>
            <w:r w:rsidRPr="00C11B63">
              <w:rPr>
                <w:rFonts w:ascii="Arial" w:eastAsia="Times New Roman" w:hAnsi="Arial" w:cs="Arial"/>
                <w:lang w:eastAsia="sr-Latn-RS"/>
              </w:rPr>
              <w:t xml:space="preserve"> gasovi iz </w:t>
            </w:r>
            <w:proofErr w:type="spellStart"/>
            <w:r w:rsidRPr="00C11B63">
              <w:rPr>
                <w:rFonts w:ascii="Arial" w:eastAsia="Times New Roman" w:hAnsi="Arial" w:cs="Arial"/>
                <w:lang w:eastAsia="sr-Latn-RS"/>
              </w:rPr>
              <w:t>koksne</w:t>
            </w:r>
            <w:proofErr w:type="spellEnd"/>
            <w:r w:rsidRPr="00C11B63">
              <w:rPr>
                <w:rFonts w:ascii="Arial" w:eastAsia="Times New Roman" w:hAnsi="Arial" w:cs="Arial"/>
                <w:lang w:eastAsia="sr-Latn-RS"/>
              </w:rPr>
              <w:t xml:space="preserv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niskokalorični</w:t>
            </w:r>
            <w:proofErr w:type="spellEnd"/>
            <w:r w:rsidRPr="00C11B63">
              <w:rPr>
                <w:rFonts w:ascii="Arial" w:eastAsia="Times New Roman" w:hAnsi="Arial" w:cs="Arial"/>
                <w:lang w:eastAsia="sr-Latn-RS"/>
              </w:rPr>
              <w:t xml:space="preserve"> gasovi iz 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postrojenja za sagorevanje koja sagorevaju gasove niske toplotne moći iz procesa </w:t>
      </w:r>
      <w:proofErr w:type="spellStart"/>
      <w:r w:rsidRPr="00C11B63">
        <w:rPr>
          <w:rFonts w:ascii="Arial" w:eastAsia="Times New Roman" w:hAnsi="Arial" w:cs="Arial"/>
          <w:lang w:eastAsia="sr-Latn-RS"/>
        </w:rPr>
        <w:t>gasifikacije</w:t>
      </w:r>
      <w:proofErr w:type="spellEnd"/>
      <w:r w:rsidRPr="00C11B63">
        <w:rPr>
          <w:rFonts w:ascii="Arial" w:eastAsia="Times New Roman" w:hAnsi="Arial" w:cs="Arial"/>
          <w:lang w:eastAsia="sr-Latn-RS"/>
        </w:rPr>
        <w:t xml:space="preserve"> </w:t>
      </w:r>
      <w:proofErr w:type="spellStart"/>
      <w:r w:rsidRPr="00C11B63">
        <w:rPr>
          <w:rFonts w:ascii="Arial" w:eastAsia="Times New Roman" w:hAnsi="Arial" w:cs="Arial"/>
          <w:lang w:eastAsia="sr-Latn-RS"/>
        </w:rPr>
        <w:t>rafinerijskih</w:t>
      </w:r>
      <w:proofErr w:type="spellEnd"/>
      <w:r w:rsidRPr="00C11B63">
        <w:rPr>
          <w:rFonts w:ascii="Arial" w:eastAsia="Times New Roman" w:hAnsi="Arial" w:cs="Arial"/>
          <w:lang w:eastAsia="sr-Latn-RS"/>
        </w:rPr>
        <w:t xml:space="preserve"> ostataka primenjuje se granična vrednost emisije za SO</w:t>
      </w:r>
      <w:r w:rsidRPr="00C11B63">
        <w:rPr>
          <w:rFonts w:ascii="Arial" w:eastAsia="Times New Roman" w:hAnsi="Arial" w:cs="Arial"/>
          <w:sz w:val="15"/>
          <w:szCs w:val="15"/>
          <w:vertAlign w:val="subscript"/>
          <w:lang w:eastAsia="sr-Latn-RS"/>
        </w:rPr>
        <w:t xml:space="preserve">2 </w:t>
      </w:r>
      <w:r w:rsidRPr="00C11B63">
        <w:rPr>
          <w:rFonts w:ascii="Arial" w:eastAsia="Times New Roman" w:hAnsi="Arial" w:cs="Arial"/>
          <w:lang w:eastAsia="sr-Latn-RS"/>
        </w:rPr>
        <w:t>od 800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4. Granične vrednosti emisija za okside azota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čvrsta ili tečna goriva, sa izuzetkom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532"/>
        <w:gridCol w:w="3600"/>
        <w:gridCol w:w="1684"/>
        <w:gridCol w:w="131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Ukupna 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i lignit i druga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Biomasa i treset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Tečna goriva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450 u slučaju sagorevanja </w:t>
            </w:r>
            <w:proofErr w:type="spellStart"/>
            <w:r w:rsidRPr="00C11B63">
              <w:rPr>
                <w:rFonts w:ascii="Arial" w:eastAsia="Times New Roman" w:hAnsi="Arial" w:cs="Arial"/>
                <w:lang w:eastAsia="sr-Latn-RS"/>
              </w:rPr>
              <w:t>sprašenog</w:t>
            </w:r>
            <w:proofErr w:type="spellEnd"/>
            <w:r w:rsidRPr="00C11B63">
              <w:rPr>
                <w:rFonts w:ascii="Arial" w:eastAsia="Times New Roman" w:hAnsi="Arial" w:cs="Arial"/>
                <w:lang w:eastAsia="sr-Latn-RS"/>
              </w:rPr>
              <w:t xml:space="preserve"> lignita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100-300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r w:rsidRPr="00C11B63">
              <w:rPr>
                <w:rFonts w:ascii="Arial" w:eastAsia="Times New Roman" w:hAnsi="Arial" w:cs="Arial"/>
                <w:b/>
                <w:bCs/>
                <w:sz w:val="15"/>
                <w:szCs w:val="15"/>
                <w:vertAlign w:val="superscript"/>
                <w:lang w:eastAsia="sr-Latn-RS"/>
              </w:rPr>
              <w:t>(1)</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r w:rsidRPr="00C11B63">
              <w:rPr>
                <w:rFonts w:ascii="Arial" w:eastAsia="Times New Roman" w:hAnsi="Arial" w:cs="Arial"/>
                <w:b/>
                <w:bCs/>
                <w:sz w:val="15"/>
                <w:szCs w:val="15"/>
                <w:vertAlign w:val="superscript"/>
                <w:lang w:eastAsia="sr-Latn-RS"/>
              </w:rPr>
              <w:t>(1)</w:t>
            </w:r>
          </w:p>
        </w:tc>
      </w:tr>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Napomena:</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lang w:eastAsia="sr-Latn-RS"/>
              </w:rPr>
              <w:t xml:space="preserve"> Na postrojenja za sagorevanje čija je ukupna ulazna toplotna snaga do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u kojima se za sopstvenu potrošnju vrši sagorevanje ostataka iz procesa destilacije ili procesa sirove nafte primenjuje se granična vrednost emisije 450 mg/normalni m</w:t>
            </w:r>
            <w:r w:rsidRPr="00C11B63">
              <w:rPr>
                <w:rFonts w:ascii="Arial" w:eastAsia="Times New Roman" w:hAnsi="Arial" w:cs="Arial"/>
                <w:sz w:val="15"/>
                <w:szCs w:val="15"/>
                <w:vertAlign w:val="superscript"/>
                <w:lang w:eastAsia="sr-Latn-RS"/>
              </w:rPr>
              <w:t>3</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postrojenja za sagorevanje u hemijskim postrojenjima koja koriste tečne ostatke iz proizvodnje kao nekomercijalno gorivo za sopstvenu potrošnju, čija je ukupna ulazna toplotna snaga manja od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primenjuje se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od 450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postrojenja za sagorevanje koja koriste čvrsta ili tečna goriva, čija je ukupna ulazna toplotna snaga manja od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koja rade manje od 1500 radnih časova godišnje u petogodišnjem proseku, primenjuje se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sz w:val="15"/>
          <w:szCs w:val="15"/>
          <w:vertAlign w:val="subscript"/>
          <w:lang w:eastAsia="sr-Latn-RS"/>
        </w:rPr>
        <w:t xml:space="preserve"> </w:t>
      </w:r>
      <w:r w:rsidRPr="00C11B63">
        <w:rPr>
          <w:rFonts w:ascii="Arial" w:eastAsia="Times New Roman" w:hAnsi="Arial" w:cs="Arial"/>
          <w:lang w:eastAsia="sr-Latn-RS"/>
        </w:rPr>
        <w:t>(izražene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od 450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postrojenja za sagorevanje koja koriste čvrsta goriva, čija je ukupna ulazna toplotna snaga veća od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koja rade manje od 1500 radnih časova godišnje u petogodišnjem proseku, primenjuje se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od 450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postrojenja za sagorevanje koja koriste tečna goriva, čija je ukupna ulazna toplotna snaga veća od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koja rade manje od 1500 radnih časova godišnje u petogodišnjem proseku, primenjuje se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od 400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deo postrojenja za sagorevanje koje ispušta otpadne gasove kroz jednu ili više odvojenih </w:t>
      </w:r>
      <w:proofErr w:type="spellStart"/>
      <w:r w:rsidRPr="00C11B63">
        <w:rPr>
          <w:rFonts w:ascii="Arial" w:eastAsia="Times New Roman" w:hAnsi="Arial" w:cs="Arial"/>
          <w:lang w:eastAsia="sr-Latn-RS"/>
        </w:rPr>
        <w:t>dimovodnih</w:t>
      </w:r>
      <w:proofErr w:type="spellEnd"/>
      <w:r w:rsidRPr="00C11B63">
        <w:rPr>
          <w:rFonts w:ascii="Arial" w:eastAsia="Times New Roman" w:hAnsi="Arial" w:cs="Arial"/>
          <w:lang w:eastAsia="sr-Latn-RS"/>
        </w:rPr>
        <w:t xml:space="preserve"> cevi putem zajedničkog dimnjaka i koji ne radi više od 1500 radnih časova godišnje u petogodišnjem proseku, mogu se primenjivati granične vrednosti emisije iz prethodna tri stava u odnosu na ukupnu ulaznu toplotnu snagu celog postrojenja za sagorevanje. U takvim slučajevima, emisije kroz svaku od </w:t>
      </w:r>
      <w:proofErr w:type="spellStart"/>
      <w:r w:rsidRPr="00C11B63">
        <w:rPr>
          <w:rFonts w:ascii="Arial" w:eastAsia="Times New Roman" w:hAnsi="Arial" w:cs="Arial"/>
          <w:lang w:eastAsia="sr-Latn-RS"/>
        </w:rPr>
        <w:t>dimovodnih</w:t>
      </w:r>
      <w:proofErr w:type="spellEnd"/>
      <w:r w:rsidRPr="00C11B63">
        <w:rPr>
          <w:rFonts w:ascii="Arial" w:eastAsia="Times New Roman" w:hAnsi="Arial" w:cs="Arial"/>
          <w:lang w:eastAsia="sr-Latn-RS"/>
        </w:rPr>
        <w:t xml:space="preserve"> cevi mere se odvojeno i preračunavaju na uslove koji važe koji važe za sve </w:t>
      </w:r>
      <w:proofErr w:type="spellStart"/>
      <w:r w:rsidRPr="00C11B63">
        <w:rPr>
          <w:rFonts w:ascii="Arial" w:eastAsia="Times New Roman" w:hAnsi="Arial" w:cs="Arial"/>
          <w:lang w:eastAsia="sr-Latn-RS"/>
        </w:rPr>
        <w:t>dimovodne</w:t>
      </w:r>
      <w:proofErr w:type="spellEnd"/>
      <w:r w:rsidRPr="00C11B63">
        <w:rPr>
          <w:rFonts w:ascii="Arial" w:eastAsia="Times New Roman" w:hAnsi="Arial" w:cs="Arial"/>
          <w:lang w:eastAsia="sr-Latn-RS"/>
        </w:rPr>
        <w:t xml:space="preserve"> cevi u istom dimnjaku.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5. Na gasne turbine (uključujući gasne turbine sa kombinovanim ciklusom) koje koriste lake i srednje destilate kao tečna goriva, primenjuje se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od 90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i granična vrednost emisije za CO od 100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gasne turbine za hitne slučajeve koje rade manje od 500 radnih časova godišnje ne primenjuju se granične vrednosti emisija iz ove tačke. Operater takvih postrojenja dužan je da vodi evidenciju o utrošenim radnim časovima.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6. Granične vrednosti emisija za okside azota i ugljen monoksid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gas,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60" w:type="dxa"/>
          <w:left w:w="60" w:type="dxa"/>
          <w:bottom w:w="60" w:type="dxa"/>
          <w:right w:w="60" w:type="dxa"/>
        </w:tblCellMar>
        <w:tblLook w:val="04A0" w:firstRow="1" w:lastRow="0" w:firstColumn="1" w:lastColumn="0" w:noHBand="0" w:noVBand="1"/>
      </w:tblPr>
      <w:tblGrid>
        <w:gridCol w:w="7750"/>
        <w:gridCol w:w="945"/>
        <w:gridCol w:w="527"/>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CO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postrojenja za sagorevanje koja koriste prirodni gas, osim gasnih turbina i gasnih motora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postrojenja za sagorevanje koja koriste gas iz visoke peći, gas iz </w:t>
            </w:r>
            <w:proofErr w:type="spellStart"/>
            <w:r w:rsidRPr="00C11B63">
              <w:rPr>
                <w:rFonts w:ascii="Arial" w:eastAsia="Times New Roman" w:hAnsi="Arial" w:cs="Arial"/>
                <w:lang w:eastAsia="sr-Latn-RS"/>
              </w:rPr>
              <w:t>koksne</w:t>
            </w:r>
            <w:proofErr w:type="spellEnd"/>
            <w:r w:rsidRPr="00C11B63">
              <w:rPr>
                <w:rFonts w:ascii="Arial" w:eastAsia="Times New Roman" w:hAnsi="Arial" w:cs="Arial"/>
                <w:lang w:eastAsia="sr-Latn-RS"/>
              </w:rPr>
              <w:t xml:space="preserve"> peći ili </w:t>
            </w:r>
            <w:proofErr w:type="spellStart"/>
            <w:r w:rsidRPr="00C11B63">
              <w:rPr>
                <w:rFonts w:ascii="Arial" w:eastAsia="Times New Roman" w:hAnsi="Arial" w:cs="Arial"/>
                <w:lang w:eastAsia="sr-Latn-RS"/>
              </w:rPr>
              <w:t>niskokalorične</w:t>
            </w:r>
            <w:proofErr w:type="spellEnd"/>
            <w:r w:rsidRPr="00C11B63">
              <w:rPr>
                <w:rFonts w:ascii="Arial" w:eastAsia="Times New Roman" w:hAnsi="Arial" w:cs="Arial"/>
                <w:lang w:eastAsia="sr-Latn-RS"/>
              </w:rPr>
              <w:t xml:space="preserve"> gasove iz procesa </w:t>
            </w:r>
            <w:proofErr w:type="spellStart"/>
            <w:r w:rsidRPr="00C11B63">
              <w:rPr>
                <w:rFonts w:ascii="Arial" w:eastAsia="Times New Roman" w:hAnsi="Arial" w:cs="Arial"/>
                <w:lang w:eastAsia="sr-Latn-RS"/>
              </w:rPr>
              <w:t>gasifikacije</w:t>
            </w:r>
            <w:proofErr w:type="spellEnd"/>
            <w:r w:rsidRPr="00C11B63">
              <w:rPr>
                <w:rFonts w:ascii="Arial" w:eastAsia="Times New Roman" w:hAnsi="Arial" w:cs="Arial"/>
                <w:lang w:eastAsia="sr-Latn-RS"/>
              </w:rPr>
              <w:t xml:space="preserve"> </w:t>
            </w:r>
            <w:proofErr w:type="spellStart"/>
            <w:r w:rsidRPr="00C11B63">
              <w:rPr>
                <w:rFonts w:ascii="Arial" w:eastAsia="Times New Roman" w:hAnsi="Arial" w:cs="Arial"/>
                <w:lang w:eastAsia="sr-Latn-RS"/>
              </w:rPr>
              <w:t>rafinerijskih</w:t>
            </w:r>
            <w:proofErr w:type="spellEnd"/>
            <w:r w:rsidRPr="00C11B63">
              <w:rPr>
                <w:rFonts w:ascii="Arial" w:eastAsia="Times New Roman" w:hAnsi="Arial" w:cs="Arial"/>
                <w:lang w:eastAsia="sr-Latn-RS"/>
              </w:rPr>
              <w:t xml:space="preserve"> ostataka, osim gasnih turbina i gasnih motora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r w:rsidRPr="00C11B63">
              <w:rPr>
                <w:rFonts w:ascii="Arial" w:eastAsia="Times New Roman" w:hAnsi="Arial" w:cs="Arial"/>
                <w:b/>
                <w:bCs/>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postrojenja za sagorevanje koja koriste druge gasove, osim gasnih turbina i gasnih motora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r w:rsidRPr="00C11B63">
              <w:rPr>
                <w:rFonts w:ascii="Arial" w:eastAsia="Times New Roman" w:hAnsi="Arial" w:cs="Arial"/>
                <w:b/>
                <w:bCs/>
                <w:sz w:val="15"/>
                <w:szCs w:val="15"/>
                <w:vertAlign w:val="superscript"/>
                <w:lang w:eastAsia="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gasne turbine (uključujući gasne turbine sa kombinovanim ciklusom) koje kao gorivo koriste prirodni gas </w:t>
            </w:r>
            <w:r w:rsidRPr="00C11B63">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w:t>
            </w:r>
            <w:r w:rsidRPr="00C11B63">
              <w:rPr>
                <w:rFonts w:ascii="Arial" w:eastAsia="Times New Roman" w:hAnsi="Arial" w:cs="Arial"/>
                <w:b/>
                <w:bCs/>
                <w:sz w:val="15"/>
                <w:szCs w:val="15"/>
                <w:vertAlign w:val="superscript"/>
                <w:lang w:eastAsia="sr-Latn-RS"/>
              </w:rPr>
              <w:t>(2) (3)</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gasne turbine (uključujući gasne turbine sa kombinovanim ciklusom) koje kao gorivo koriste druge gasove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gasni motori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Napomena:</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lang w:eastAsia="sr-Latn-RS"/>
              </w:rPr>
              <w:t xml:space="preserve"> Prirodni gas je smeša gasovitih ugljovodonika od kojih je najzastupljeniji metan koji sadrži najviše 20% (zapreminskih) inertnih i drugih sastojaka</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(2)</w:t>
            </w:r>
            <w:r w:rsidRPr="00C11B63">
              <w:rPr>
                <w:rFonts w:ascii="Arial" w:eastAsia="Times New Roman" w:hAnsi="Arial" w:cs="Arial"/>
                <w:lang w:eastAsia="sr-Latn-RS"/>
              </w:rPr>
              <w:t xml:space="preserve"> Granična vrednost emisije iznosi 75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u slučajevima kada je efikasnost utvrđena u skladu sa uslovima opterećenja prema utvrđenom odgovarajućem srpskom standardu:</w:t>
            </w:r>
            <w:r w:rsidRPr="00C11B63">
              <w:rPr>
                <w:rFonts w:ascii="Arial" w:eastAsia="Times New Roman" w:hAnsi="Arial" w:cs="Arial"/>
                <w:lang w:eastAsia="sr-Latn-RS"/>
              </w:rPr>
              <w:br/>
              <w:t>1) kod gasnih turbina koje se koriste u kombinovanim sistemima za grejanje i proizvodnju električne energije i čija je ukupna efikasnost veća od 75%;</w:t>
            </w:r>
            <w:r w:rsidRPr="00C11B63">
              <w:rPr>
                <w:rFonts w:ascii="Arial" w:eastAsia="Times New Roman" w:hAnsi="Arial" w:cs="Arial"/>
                <w:lang w:eastAsia="sr-Latn-RS"/>
              </w:rPr>
              <w:br/>
              <w:t>2) kod gasnih turbina koje se koriste u postrojenjima sa kombinovanim ciklusom proizvodnje, kod kojih je ukupna prosečna godišnja efikasnost u proizvodnji električne energije veća od 55%;</w:t>
            </w:r>
            <w:r w:rsidRPr="00C11B63">
              <w:rPr>
                <w:rFonts w:ascii="Arial" w:eastAsia="Times New Roman" w:hAnsi="Arial" w:cs="Arial"/>
                <w:lang w:eastAsia="sr-Latn-RS"/>
              </w:rPr>
              <w:br/>
              <w:t xml:space="preserve">3) kod gasnih turbina za mehaničke pogone.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576"/>
              <w:gridCol w:w="812"/>
              <w:gridCol w:w="1678"/>
            </w:tblGrid>
            <w:tr w:rsidR="00C11B63" w:rsidRPr="00C11B63">
              <w:trPr>
                <w:tblCellSpacing w:w="0" w:type="dxa"/>
              </w:trPr>
              <w:tc>
                <w:tcPr>
                  <w:tcW w:w="0" w:type="auto"/>
                  <w:gridSpan w:val="3"/>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(3)</w:t>
                  </w:r>
                  <w:r w:rsidRPr="00C11B63">
                    <w:rPr>
                      <w:rFonts w:ascii="Arial" w:eastAsia="Times New Roman" w:hAnsi="Arial" w:cs="Arial"/>
                      <w:lang w:eastAsia="sr-Latn-RS"/>
                    </w:rPr>
                    <w:t xml:space="preserve"> Kod gasnih turbina sa jednim ciklusom, koje nisu obuhvaćene nijednom od kategorija navedenih u okviru napomene </w:t>
                  </w:r>
                  <w:r w:rsidRPr="00C11B63">
                    <w:rPr>
                      <w:rFonts w:ascii="Arial" w:eastAsia="Times New Roman" w:hAnsi="Arial" w:cs="Arial"/>
                      <w:b/>
                      <w:bCs/>
                      <w:sz w:val="15"/>
                      <w:szCs w:val="15"/>
                      <w:vertAlign w:val="superscript"/>
                      <w:lang w:eastAsia="sr-Latn-RS"/>
                    </w:rPr>
                    <w:t>(2)</w:t>
                  </w:r>
                  <w:r w:rsidRPr="00C11B63">
                    <w:rPr>
                      <w:rFonts w:ascii="Arial" w:eastAsia="Times New Roman" w:hAnsi="Arial" w:cs="Arial"/>
                      <w:lang w:eastAsia="sr-Latn-RS"/>
                    </w:rPr>
                    <w:t xml:space="preserve">, ali koje imaju efikasnost veću od 35% - utvrđenu u skladu sa uslovima opterećenja prema utvrđenom odgovarajućem srpskom standardu - </w:t>
                  </w:r>
                </w:p>
              </w:tc>
            </w:tr>
            <w:tr w:rsidR="00C11B63" w:rsidRPr="00C11B63">
              <w:trPr>
                <w:tblCellSpacing w:w="0" w:type="dxa"/>
              </w:trPr>
              <w:tc>
                <w:tcPr>
                  <w:tcW w:w="2150" w:type="pct"/>
                  <w:noWrap/>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sz w:val="15"/>
                      <w:szCs w:val="15"/>
                      <w:vertAlign w:val="subscript"/>
                      <w:lang w:eastAsia="sr-Latn-RS"/>
                    </w:rPr>
                    <w:t xml:space="preserve"> </w:t>
                  </w:r>
                  <w:r w:rsidRPr="00C11B63">
                    <w:rPr>
                      <w:rFonts w:ascii="Arial" w:eastAsia="Times New Roman" w:hAnsi="Arial" w:cs="Arial"/>
                      <w:lang w:eastAsia="sr-Latn-RS"/>
                    </w:rPr>
                    <w:t>(izražene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računa se kao </w:t>
                  </w:r>
                </w:p>
              </w:tc>
              <w:tc>
                <w:tcPr>
                  <w:tcW w:w="250" w:type="pct"/>
                  <w:noWrap/>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57200" cy="381000"/>
                        <wp:effectExtent l="0" t="0" r="0" b="0"/>
                        <wp:docPr id="2" name="Picture 2" descr="C:\Program Files (x86)\ParagrafLex\browser\Files\Old\t\t2016_01\t01_0443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6_01\t01_0443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381000"/>
                                </a:xfrm>
                                <a:prstGeom prst="rect">
                                  <a:avLst/>
                                </a:prstGeom>
                                <a:noFill/>
                                <a:ln>
                                  <a:noFill/>
                                </a:ln>
                              </pic:spPr>
                            </pic:pic>
                          </a:graphicData>
                        </a:graphic>
                      </wp:inline>
                    </w:drawing>
                  </w:r>
                  <w:r w:rsidRPr="00C11B63">
                    <w:rPr>
                      <w:rFonts w:ascii="Arial" w:eastAsia="Times New Roman" w:hAnsi="Arial" w:cs="Arial"/>
                      <w:lang w:eastAsia="sr-Latn-RS"/>
                    </w:rPr>
                    <w:t xml:space="preserve">, </w:t>
                  </w:r>
                </w:p>
              </w:tc>
              <w:tc>
                <w:tcPr>
                  <w:tcW w:w="2600" w:type="pct"/>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gde je η efikasnost </w:t>
                  </w:r>
                </w:p>
              </w:tc>
            </w:tr>
            <w:tr w:rsidR="00C11B63" w:rsidRPr="00C11B63">
              <w:trPr>
                <w:tblCellSpacing w:w="0" w:type="dxa"/>
              </w:trPr>
              <w:tc>
                <w:tcPr>
                  <w:tcW w:w="0" w:type="auto"/>
                  <w:gridSpan w:val="3"/>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gasne turbine u skladu sa uslovima opterećenja prema utvrđenom odgovarajućem srpskom standardu, izražena u procentima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(4)</w:t>
            </w:r>
            <w:r w:rsidRPr="00C11B63">
              <w:rPr>
                <w:rFonts w:ascii="Arial" w:eastAsia="Times New Roman" w:hAnsi="Arial" w:cs="Arial"/>
                <w:lang w:eastAsia="sr-Latn-RS"/>
              </w:rPr>
              <w:t xml:space="preserve"> Granična vrednost emisije iznosi 300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za postojeća postrojenja za sagorevanje čija je ukupna toplotna snaga manja od 500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gasne turbine (uključujući gasne turbine sa kombinovanim ciklusom) granične vrednosti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i CO iz tabele u ovoj tački primenjuju se samo za opterećenja iznad 70%.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gasne turbine (uključujući gasne turbine sa kombinovanim ciklusom) koje ne rade više od 1500 radnih časova godišnje u petogodišnjem proseku, primenjuje se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od 150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ako se koristi prirodni gas i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od 200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ako se koriste drugi gasovi ili tečna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deo postrojenja za sagorevanje koje ispušta otpadne gasove kroz jednu ili više odvojenih </w:t>
      </w:r>
      <w:proofErr w:type="spellStart"/>
      <w:r w:rsidRPr="00C11B63">
        <w:rPr>
          <w:rFonts w:ascii="Arial" w:eastAsia="Times New Roman" w:hAnsi="Arial" w:cs="Arial"/>
          <w:lang w:eastAsia="sr-Latn-RS"/>
        </w:rPr>
        <w:t>dimovodnih</w:t>
      </w:r>
      <w:proofErr w:type="spellEnd"/>
      <w:r w:rsidRPr="00C11B63">
        <w:rPr>
          <w:rFonts w:ascii="Arial" w:eastAsia="Times New Roman" w:hAnsi="Arial" w:cs="Arial"/>
          <w:lang w:eastAsia="sr-Latn-RS"/>
        </w:rPr>
        <w:t xml:space="preserve"> cevi putem zajedničkog dimnjaka i koji ne radi više od 1500 radnih časova godišnje u petogodišnjem proseku, mogu se primenjivati granične vrednosti emisije iz prethodnog stava u odnosu na ukupnu ulaznu toplotnu snagu celog postrojenja za sagorevanje. U takvim slučajevima, emisije kroz svaku od </w:t>
      </w:r>
      <w:proofErr w:type="spellStart"/>
      <w:r w:rsidRPr="00C11B63">
        <w:rPr>
          <w:rFonts w:ascii="Arial" w:eastAsia="Times New Roman" w:hAnsi="Arial" w:cs="Arial"/>
          <w:lang w:eastAsia="sr-Latn-RS"/>
        </w:rPr>
        <w:t>dimovodnih</w:t>
      </w:r>
      <w:proofErr w:type="spellEnd"/>
      <w:r w:rsidRPr="00C11B63">
        <w:rPr>
          <w:rFonts w:ascii="Arial" w:eastAsia="Times New Roman" w:hAnsi="Arial" w:cs="Arial"/>
          <w:lang w:eastAsia="sr-Latn-RS"/>
        </w:rPr>
        <w:t xml:space="preserve"> cevi mere se odvojeno i preračunavaju na uslove koji važe koji važe za sve </w:t>
      </w:r>
      <w:proofErr w:type="spellStart"/>
      <w:r w:rsidRPr="00C11B63">
        <w:rPr>
          <w:rFonts w:ascii="Arial" w:eastAsia="Times New Roman" w:hAnsi="Arial" w:cs="Arial"/>
          <w:lang w:eastAsia="sr-Latn-RS"/>
        </w:rPr>
        <w:t>dimovodne</w:t>
      </w:r>
      <w:proofErr w:type="spellEnd"/>
      <w:r w:rsidRPr="00C11B63">
        <w:rPr>
          <w:rFonts w:ascii="Arial" w:eastAsia="Times New Roman" w:hAnsi="Arial" w:cs="Arial"/>
          <w:lang w:eastAsia="sr-Latn-RS"/>
        </w:rPr>
        <w:t xml:space="preserve"> cevi u istom dimnjaku.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Na gasne turbine i gasne motore za hitne slučajeve koji rade manje od 500 radnih časova godišnje ne primenjuju se granične vrednosti emisija iz ove tačke. Operater takvih postrojenja dužan je da evidentira utrošene radne časove.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7. Granične vrednosti emisija za praškaste materije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čvrsta ili tečna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62"/>
        <w:gridCol w:w="3047"/>
        <w:gridCol w:w="1912"/>
        <w:gridCol w:w="1111"/>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Ukupna 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i lignit i druga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Biomasa i treset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Tečna </w:t>
            </w:r>
            <w:r w:rsidRPr="00C11B63">
              <w:rPr>
                <w:rFonts w:ascii="Arial" w:eastAsia="Times New Roman" w:hAnsi="Arial" w:cs="Arial"/>
                <w:lang w:eastAsia="sr-Latn-RS"/>
              </w:rPr>
              <w:br/>
              <w:t xml:space="preserve">goriva </w:t>
            </w:r>
            <w:r w:rsidRPr="00C11B63">
              <w:rPr>
                <w:rFonts w:ascii="Arial" w:eastAsia="Times New Roman" w:hAnsi="Arial" w:cs="Arial"/>
                <w:b/>
                <w:bCs/>
                <w:sz w:val="15"/>
                <w:szCs w:val="15"/>
                <w:vertAlign w:val="superscript"/>
                <w:lang w:eastAsia="sr-Latn-RS"/>
              </w:rPr>
              <w:t>(1)</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 </w:t>
            </w:r>
          </w:p>
        </w:tc>
      </w:tr>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lang w:eastAsia="sr-Latn-RS"/>
              </w:rPr>
              <w:t xml:space="preserve"> Na postrojenja za sagorevanje u kojima se za sopstvenu potrošnju vrši sagorevanje ostataka iz procesa destilacije ili procesa sirove nafte primenjuje se granična vrednost emisije 50 mg/normalni m</w:t>
            </w:r>
            <w:r w:rsidRPr="00C11B63">
              <w:rPr>
                <w:rFonts w:ascii="Arial" w:eastAsia="Times New Roman" w:hAnsi="Arial" w:cs="Arial"/>
                <w:sz w:val="15"/>
                <w:szCs w:val="15"/>
                <w:vertAlign w:val="superscript"/>
                <w:lang w:eastAsia="sr-Latn-RS"/>
              </w:rPr>
              <w:t>3</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8. Granične vrednosti emisija za praškaste materije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gasovita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621"/>
        <w:gridCol w:w="2511"/>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gasovita goriva generalno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 iz 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gasovi nastali u industriji čelika a koji se mogu koristiti na drugom mestu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 </w:t>
            </w:r>
          </w:p>
        </w:tc>
      </w:tr>
    </w:tbl>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66" w:name="str_27"/>
      <w:bookmarkEnd w:id="66"/>
      <w:r w:rsidRPr="00C11B63">
        <w:rPr>
          <w:rFonts w:ascii="Arial" w:eastAsia="Times New Roman" w:hAnsi="Arial" w:cs="Arial"/>
          <w:sz w:val="28"/>
          <w:szCs w:val="28"/>
          <w:lang w:eastAsia="sr-Latn-RS"/>
        </w:rPr>
        <w:t>V) GRANIČNE VREDNOSTI EMISIJA ZA SUMPOR DIOKSID (SO</w:t>
      </w:r>
      <w:r w:rsidRPr="00C11B63">
        <w:rPr>
          <w:rFonts w:ascii="Arial" w:eastAsia="Times New Roman" w:hAnsi="Arial" w:cs="Arial"/>
          <w:sz w:val="15"/>
          <w:szCs w:val="15"/>
          <w:vertAlign w:val="subscript"/>
          <w:lang w:eastAsia="sr-Latn-RS"/>
        </w:rPr>
        <w:t>2</w:t>
      </w:r>
      <w:r w:rsidRPr="00C11B63">
        <w:rPr>
          <w:rFonts w:ascii="Arial" w:eastAsia="Times New Roman" w:hAnsi="Arial" w:cs="Arial"/>
          <w:sz w:val="28"/>
          <w:szCs w:val="28"/>
          <w:lang w:eastAsia="sr-Latn-RS"/>
        </w:rPr>
        <w:t>), OKSIDE AZOTA NO</w:t>
      </w:r>
      <w:r w:rsidRPr="00C11B63">
        <w:rPr>
          <w:rFonts w:ascii="Arial" w:eastAsia="Times New Roman" w:hAnsi="Arial" w:cs="Arial"/>
          <w:sz w:val="15"/>
          <w:szCs w:val="15"/>
          <w:vertAlign w:val="subscript"/>
          <w:lang w:eastAsia="sr-Latn-RS"/>
        </w:rPr>
        <w:t>X</w:t>
      </w:r>
      <w:r w:rsidRPr="00C11B63">
        <w:rPr>
          <w:rFonts w:ascii="Arial" w:eastAsia="Times New Roman" w:hAnsi="Arial" w:cs="Arial"/>
          <w:sz w:val="28"/>
          <w:szCs w:val="28"/>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sz w:val="28"/>
          <w:szCs w:val="28"/>
          <w:lang w:eastAsia="sr-Latn-RS"/>
        </w:rPr>
        <w:t xml:space="preserve">), PRAŠKASTE MATERIJE I UGLJEN MONOKSID (CO) ZA NOVA VELIKA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Sve granične vrednosti emisije izračunavaju se pri temperaturi od 273,15 K, pritisku od 101,3 </w:t>
      </w:r>
      <w:proofErr w:type="spellStart"/>
      <w:r w:rsidRPr="00C11B63">
        <w:rPr>
          <w:rFonts w:ascii="Arial" w:eastAsia="Times New Roman" w:hAnsi="Arial" w:cs="Arial"/>
          <w:lang w:eastAsia="sr-Latn-RS"/>
        </w:rPr>
        <w:t>kPa</w:t>
      </w:r>
      <w:proofErr w:type="spellEnd"/>
      <w:r w:rsidRPr="00C11B63">
        <w:rPr>
          <w:rFonts w:ascii="Arial" w:eastAsia="Times New Roman" w:hAnsi="Arial" w:cs="Arial"/>
          <w:lang w:eastAsia="sr-Latn-RS"/>
        </w:rPr>
        <w:t xml:space="preserve"> i nakon korekcije na sadržaj vodene pare u otpadnim gasovima i pri udelu kiseonika od 6% za čvrsta goriva, 3% za postrojenja za sagorevanje, osim gasnih turbina i gasnih motora koja koriste tečno i gasovito gorivo i 15% za gasne turbine i gasne motore.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slučaju gasne turbine sa kombinovanim ciklusom sa dodatim </w:t>
      </w:r>
      <w:proofErr w:type="spellStart"/>
      <w:r w:rsidRPr="00C11B63">
        <w:rPr>
          <w:rFonts w:ascii="Arial" w:eastAsia="Times New Roman" w:hAnsi="Arial" w:cs="Arial"/>
          <w:lang w:eastAsia="sr-Latn-RS"/>
        </w:rPr>
        <w:t>plamenikom</w:t>
      </w:r>
      <w:proofErr w:type="spellEnd"/>
      <w:r w:rsidRPr="00C11B63">
        <w:rPr>
          <w:rFonts w:ascii="Arial" w:eastAsia="Times New Roman" w:hAnsi="Arial" w:cs="Arial"/>
          <w:lang w:eastAsia="sr-Latn-RS"/>
        </w:rPr>
        <w:t xml:space="preserve">, udeo kiseonika može odrediti nadležni organ, vodeći računa o karakteristikama predmetnog postrojenja.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2. Granične vrednosti emisija za sumpor dioksid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čvrsta ili tečna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55"/>
        <w:gridCol w:w="3750"/>
        <w:gridCol w:w="916"/>
        <w:gridCol w:w="2351"/>
        <w:gridCol w:w="860"/>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Ukupna </w:t>
            </w:r>
            <w:r w:rsidRPr="00C11B63">
              <w:rPr>
                <w:rFonts w:ascii="Arial" w:eastAsia="Times New Roman" w:hAnsi="Arial" w:cs="Arial"/>
                <w:lang w:eastAsia="sr-Latn-RS"/>
              </w:rPr>
              <w:br/>
              <w:t>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i lignit i druga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Biomasa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Treset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Tečna goriva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300</w:t>
            </w:r>
            <w:r w:rsidRPr="00C11B63">
              <w:rPr>
                <w:rFonts w:ascii="Arial" w:eastAsia="Times New Roman" w:hAnsi="Arial" w:cs="Arial"/>
                <w:lang w:eastAsia="sr-Latn-RS"/>
              </w:rPr>
              <w:br/>
              <w:t xml:space="preserve">250 u slučaju sagorevanja u </w:t>
            </w:r>
            <w:proofErr w:type="spellStart"/>
            <w:r w:rsidRPr="00C11B63">
              <w:rPr>
                <w:rFonts w:ascii="Arial" w:eastAsia="Times New Roman" w:hAnsi="Arial" w:cs="Arial"/>
                <w:lang w:eastAsia="sr-Latn-RS"/>
              </w:rPr>
              <w:t>fluidizovanom</w:t>
            </w:r>
            <w:proofErr w:type="spellEnd"/>
            <w:r w:rsidRPr="00C11B63">
              <w:rPr>
                <w:rFonts w:ascii="Arial" w:eastAsia="Times New Roman" w:hAnsi="Arial" w:cs="Arial"/>
                <w:lang w:eastAsia="sr-Latn-RS"/>
              </w:rPr>
              <w:t xml:space="preserve"> sloju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150</w:t>
            </w:r>
            <w:r w:rsidRPr="00C11B63">
              <w:rPr>
                <w:rFonts w:ascii="Arial" w:eastAsia="Times New Roman" w:hAnsi="Arial" w:cs="Arial"/>
                <w:lang w:eastAsia="sr-Latn-RS"/>
              </w:rPr>
              <w:br/>
              <w:t xml:space="preserve">200 u slučaju sagorevanja u cirkulacionom </w:t>
            </w:r>
            <w:proofErr w:type="spellStart"/>
            <w:r w:rsidRPr="00C11B63">
              <w:rPr>
                <w:rFonts w:ascii="Arial" w:eastAsia="Times New Roman" w:hAnsi="Arial" w:cs="Arial"/>
                <w:lang w:eastAsia="sr-Latn-RS"/>
              </w:rPr>
              <w:t>fluidizovanom</w:t>
            </w:r>
            <w:proofErr w:type="spellEnd"/>
            <w:r w:rsidRPr="00C11B63">
              <w:rPr>
                <w:rFonts w:ascii="Arial" w:eastAsia="Times New Roman" w:hAnsi="Arial" w:cs="Arial"/>
                <w:lang w:eastAsia="sr-Latn-RS"/>
              </w:rPr>
              <w:t xml:space="preserve"> sloju ili </w:t>
            </w:r>
            <w:proofErr w:type="spellStart"/>
            <w:r w:rsidRPr="00C11B63">
              <w:rPr>
                <w:rFonts w:ascii="Arial" w:eastAsia="Times New Roman" w:hAnsi="Arial" w:cs="Arial"/>
                <w:lang w:eastAsia="sr-Latn-RS"/>
              </w:rPr>
              <w:t>fluidizovanom</w:t>
            </w:r>
            <w:proofErr w:type="spellEnd"/>
            <w:r w:rsidRPr="00C11B63">
              <w:rPr>
                <w:rFonts w:ascii="Arial" w:eastAsia="Times New Roman" w:hAnsi="Arial" w:cs="Arial"/>
                <w:lang w:eastAsia="sr-Latn-RS"/>
              </w:rPr>
              <w:t xml:space="preserve"> sloju pod pritiskom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150</w:t>
            </w:r>
            <w:r w:rsidRPr="00C11B63">
              <w:rPr>
                <w:rFonts w:ascii="Arial" w:eastAsia="Times New Roman" w:hAnsi="Arial" w:cs="Arial"/>
                <w:lang w:eastAsia="sr-Latn-RS"/>
              </w:rPr>
              <w:br/>
              <w:t xml:space="preserve">200 u slučaju sagorevanja u </w:t>
            </w:r>
            <w:proofErr w:type="spellStart"/>
            <w:r w:rsidRPr="00C11B63">
              <w:rPr>
                <w:rFonts w:ascii="Arial" w:eastAsia="Times New Roman" w:hAnsi="Arial" w:cs="Arial"/>
                <w:lang w:eastAsia="sr-Latn-RS"/>
              </w:rPr>
              <w:t>fluidizovanom</w:t>
            </w:r>
            <w:proofErr w:type="spellEnd"/>
            <w:r w:rsidRPr="00C11B63">
              <w:rPr>
                <w:rFonts w:ascii="Arial" w:eastAsia="Times New Roman" w:hAnsi="Arial" w:cs="Arial"/>
                <w:lang w:eastAsia="sr-Latn-RS"/>
              </w:rPr>
              <w:t xml:space="preserve"> sloju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3. Granične vrednosti emisija za sumpor dioksid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gasovita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250"/>
        <w:gridCol w:w="3882"/>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gasovita goriva generalno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tečni naftni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niskokalorični</w:t>
            </w:r>
            <w:proofErr w:type="spellEnd"/>
            <w:r w:rsidRPr="00C11B63">
              <w:rPr>
                <w:rFonts w:ascii="Arial" w:eastAsia="Times New Roman" w:hAnsi="Arial" w:cs="Arial"/>
                <w:lang w:eastAsia="sr-Latn-RS"/>
              </w:rPr>
              <w:t xml:space="preserve"> gasovi iz </w:t>
            </w:r>
            <w:proofErr w:type="spellStart"/>
            <w:r w:rsidRPr="00C11B63">
              <w:rPr>
                <w:rFonts w:ascii="Arial" w:eastAsia="Times New Roman" w:hAnsi="Arial" w:cs="Arial"/>
                <w:lang w:eastAsia="sr-Latn-RS"/>
              </w:rPr>
              <w:t>koksne</w:t>
            </w:r>
            <w:proofErr w:type="spellEnd"/>
            <w:r w:rsidRPr="00C11B63">
              <w:rPr>
                <w:rFonts w:ascii="Arial" w:eastAsia="Times New Roman" w:hAnsi="Arial" w:cs="Arial"/>
                <w:lang w:eastAsia="sr-Latn-RS"/>
              </w:rPr>
              <w:t xml:space="preserv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niskokalorični</w:t>
            </w:r>
            <w:proofErr w:type="spellEnd"/>
            <w:r w:rsidRPr="00C11B63">
              <w:rPr>
                <w:rFonts w:ascii="Arial" w:eastAsia="Times New Roman" w:hAnsi="Arial" w:cs="Arial"/>
                <w:lang w:eastAsia="sr-Latn-RS"/>
              </w:rPr>
              <w:t xml:space="preserve"> gasovi iz 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4. Granične vrednosti emisija za okside azota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čvrsta ili tečna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73"/>
        <w:gridCol w:w="3753"/>
        <w:gridCol w:w="1500"/>
        <w:gridCol w:w="120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Ukupna 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i lignit i druga </w:t>
            </w:r>
            <w:r w:rsidRPr="00C11B63">
              <w:rPr>
                <w:rFonts w:ascii="Arial" w:eastAsia="Times New Roman" w:hAnsi="Arial" w:cs="Arial"/>
                <w:lang w:eastAsia="sr-Latn-RS"/>
              </w:rPr>
              <w:br/>
              <w:t xml:space="preserve">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Biomasa i treset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Tečna goriva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300</w:t>
            </w:r>
            <w:r w:rsidRPr="00C11B63">
              <w:rPr>
                <w:rFonts w:ascii="Arial" w:eastAsia="Times New Roman" w:hAnsi="Arial" w:cs="Arial"/>
                <w:lang w:eastAsia="sr-Latn-RS"/>
              </w:rPr>
              <w:br/>
              <w:t xml:space="preserve">400 u slučaju sagorevanja </w:t>
            </w:r>
            <w:proofErr w:type="spellStart"/>
            <w:r w:rsidRPr="00C11B63">
              <w:rPr>
                <w:rFonts w:ascii="Arial" w:eastAsia="Times New Roman" w:hAnsi="Arial" w:cs="Arial"/>
                <w:lang w:eastAsia="sr-Latn-RS"/>
              </w:rPr>
              <w:t>sprašenog</w:t>
            </w:r>
            <w:proofErr w:type="spellEnd"/>
            <w:r w:rsidRPr="00C11B63">
              <w:rPr>
                <w:rFonts w:ascii="Arial" w:eastAsia="Times New Roman" w:hAnsi="Arial" w:cs="Arial"/>
                <w:lang w:eastAsia="sr-Latn-RS"/>
              </w:rPr>
              <w:t xml:space="preserve"> lignita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150</w:t>
            </w:r>
            <w:r w:rsidRPr="00C11B63">
              <w:rPr>
                <w:rFonts w:ascii="Arial" w:eastAsia="Times New Roman" w:hAnsi="Arial" w:cs="Arial"/>
                <w:lang w:eastAsia="sr-Latn-RS"/>
              </w:rPr>
              <w:br/>
              <w:t xml:space="preserve">200 u slučaju sagorevanja </w:t>
            </w:r>
            <w:proofErr w:type="spellStart"/>
            <w:r w:rsidRPr="00C11B63">
              <w:rPr>
                <w:rFonts w:ascii="Arial" w:eastAsia="Times New Roman" w:hAnsi="Arial" w:cs="Arial"/>
                <w:lang w:eastAsia="sr-Latn-RS"/>
              </w:rPr>
              <w:t>sprašenog</w:t>
            </w:r>
            <w:proofErr w:type="spellEnd"/>
            <w:r w:rsidRPr="00C11B63">
              <w:rPr>
                <w:rFonts w:ascii="Arial" w:eastAsia="Times New Roman" w:hAnsi="Arial" w:cs="Arial"/>
                <w:lang w:eastAsia="sr-Latn-RS"/>
              </w:rPr>
              <w:t xml:space="preserve"> lignita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5. Na gasne turbine (uključujući gasne turbine sa kombinovanim ciklusom) koje koriste lake i srednje destilate kao tečna goriva, primenjuje se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od 50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i granična vrednost emisije za CO od 100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gasne turbine za hitne slučajeve koje rade manje od 500 radnih časova godišnje ne primenjuju se granične vrednosti emisija iz ove tačke. Operater takvih postrojenja dužan je da vodi evidenciju o utrošenim radnim časovima.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6. Granične vrednosti emisija za okside azota i ugljen monoksid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gas,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54"/>
        <w:gridCol w:w="1370"/>
        <w:gridCol w:w="708"/>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CO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postrojenja za sagorevanje, osim gasnih turbina i gasnih motora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gasne turbine (uključujući gasne turbine sa kombinovanim ciklusom)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w:t>
            </w:r>
            <w:r w:rsidRPr="00C11B63">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gasni motori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Napomena:</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lang w:eastAsia="sr-Latn-RS"/>
              </w:rPr>
              <w:t xml:space="preserve"> Kod gasnih turbina sa jednim ciklusom koje imaju efikasnost veću od 35% - utvrđenu u skladu sa uslovima opterećenja prema utvrđenom odgovarajućem srpskom standardu - granična vrednost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računa se kao </w:t>
            </w:r>
            <w:r>
              <w:rPr>
                <w:rFonts w:ascii="Arial" w:eastAsia="Times New Roman" w:hAnsi="Arial" w:cs="Arial"/>
                <w:noProof/>
                <w:lang w:val="en-US"/>
              </w:rPr>
              <w:drawing>
                <wp:inline distT="0" distB="0" distL="0" distR="0">
                  <wp:extent cx="457200" cy="381000"/>
                  <wp:effectExtent l="0" t="0" r="0" b="0"/>
                  <wp:docPr id="1" name="Picture 1" descr="C:\Program Files (x86)\ParagrafLex\browser\Files\Old\t\t2016_01\t01_0443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6_01\t01_0443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381000"/>
                          </a:xfrm>
                          <a:prstGeom prst="rect">
                            <a:avLst/>
                          </a:prstGeom>
                          <a:noFill/>
                          <a:ln>
                            <a:noFill/>
                          </a:ln>
                        </pic:spPr>
                      </pic:pic>
                    </a:graphicData>
                  </a:graphic>
                </wp:inline>
              </w:drawing>
            </w:r>
            <w:r w:rsidRPr="00C11B63">
              <w:rPr>
                <w:rFonts w:ascii="Arial" w:eastAsia="Times New Roman" w:hAnsi="Arial" w:cs="Arial"/>
                <w:lang w:eastAsia="sr-Latn-RS"/>
              </w:rPr>
              <w:t xml:space="preserve">, gde je η efikasnost gasne turbine u skladu sa uslovima opterećenja prema utvrđenom odgovarajućem srpskom standardu, izražena u procentima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gasne turbine (uključujući gasne turbine sa kombinovanim ciklusom) granične vrednosti emisije za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(izražene kao NO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i CO iz ove tačke primenjuju se samo za opterećenja iznad 70%.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 gasne turbine za hitne slučajeve koje rade manje od 500 radnih časova godišnje ne primenjuju se granične vrednosti emisija iz ove tačke. Operater takvih postrojenja dužan je da vodi evidenciju o utrošenim radnim časovima.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7. Granične vrednosti emisija za praškaste materije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čvrsta ili tečna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67"/>
        <w:gridCol w:w="4165"/>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Ukupna 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10</w:t>
            </w:r>
            <w:r w:rsidRPr="00C11B63">
              <w:rPr>
                <w:rFonts w:ascii="Arial" w:eastAsia="Times New Roman" w:hAnsi="Arial" w:cs="Arial"/>
                <w:lang w:eastAsia="sr-Latn-RS"/>
              </w:rPr>
              <w:br/>
              <w:t xml:space="preserve">20 za biomasu i treset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8. Granične vrednosti emisija za praškaste materije izražene u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koje se primenjuju na postrojenja za sagorevanje koja koriste gasovita goriva, osim gasnih turbina i gasnih motora,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661"/>
        <w:gridCol w:w="2471"/>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Ukupna 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gasovita goriva generalno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 iz visoke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gasove nastale u industriji čelika koji se mogu koristiti na drugom mestu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 </w:t>
            </w:r>
          </w:p>
        </w:tc>
      </w:tr>
    </w:tbl>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67" w:name="str_28"/>
      <w:bookmarkEnd w:id="67"/>
      <w:r w:rsidRPr="00C11B63">
        <w:rPr>
          <w:rFonts w:ascii="Arial" w:eastAsia="Times New Roman" w:hAnsi="Arial" w:cs="Arial"/>
          <w:sz w:val="28"/>
          <w:szCs w:val="28"/>
          <w:lang w:eastAsia="sr-Latn-RS"/>
        </w:rPr>
        <w:lastRenderedPageBreak/>
        <w:t xml:space="preserve">G) NAJMANJI STEPEN ODSUMPORAVANJA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Najmanji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za postojeća velika postrojenja za sagorevanje iz Priloga 1. pod B) ove uredbe, dat je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110"/>
        <w:gridCol w:w="2969"/>
        <w:gridCol w:w="2053"/>
      </w:tblGrid>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Ukupna ulazna 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Najmanji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Postojeća velika </w:t>
            </w:r>
            <w:r w:rsidRPr="00C11B63">
              <w:rPr>
                <w:rFonts w:ascii="Arial" w:eastAsia="Times New Roman" w:hAnsi="Arial" w:cs="Arial"/>
                <w:lang w:eastAsia="sr-Latn-RS"/>
              </w:rPr>
              <w:br/>
              <w:t xml:space="preserve">postrojenja za sagorevanje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Ostala postrojenja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92%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92%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96% </w:t>
            </w:r>
            <w:r w:rsidRPr="00C11B63">
              <w:rPr>
                <w:rFonts w:ascii="Arial" w:eastAsia="Times New Roman" w:hAnsi="Arial" w:cs="Arial"/>
                <w:b/>
                <w:bCs/>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96% </w:t>
            </w:r>
          </w:p>
        </w:tc>
      </w:tr>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Napomena:</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 xml:space="preserve">(1) </w:t>
            </w:r>
            <w:r w:rsidRPr="00C11B63">
              <w:rPr>
                <w:rFonts w:ascii="Arial" w:eastAsia="Times New Roman" w:hAnsi="Arial" w:cs="Arial"/>
                <w:lang w:eastAsia="sr-Latn-RS"/>
              </w:rPr>
              <w:t xml:space="preserve">Za postrojenja za sagorevanje koja koriste naftne </w:t>
            </w:r>
            <w:proofErr w:type="spellStart"/>
            <w:r w:rsidRPr="00C11B63">
              <w:rPr>
                <w:rFonts w:ascii="Arial" w:eastAsia="Times New Roman" w:hAnsi="Arial" w:cs="Arial"/>
                <w:lang w:eastAsia="sr-Latn-RS"/>
              </w:rPr>
              <w:t>škriljce</w:t>
            </w:r>
            <w:proofErr w:type="spellEnd"/>
            <w:r w:rsidRPr="00C11B63">
              <w:rPr>
                <w:rFonts w:ascii="Arial" w:eastAsia="Times New Roman" w:hAnsi="Arial" w:cs="Arial"/>
                <w:lang w:eastAsia="sr-Latn-RS"/>
              </w:rPr>
              <w:t xml:space="preserve">, najmanji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je 95%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Najmanji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za nova velika postrojenja za sagorevanje iz Priloga 1. pod V) ove uredbe, dat je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879"/>
        <w:gridCol w:w="4253"/>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Ukupna ulazna toplotna snaga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Najmanji 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50-100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93%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100-300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93%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97% </w:t>
            </w:r>
          </w:p>
        </w:tc>
      </w:tr>
    </w:tbl>
    <w:p w:rsidR="00C11B63" w:rsidRPr="00C11B63" w:rsidRDefault="00C11B63" w:rsidP="00C11B63">
      <w:pPr>
        <w:spacing w:after="0" w:line="240" w:lineRule="auto"/>
        <w:jc w:val="center"/>
        <w:rPr>
          <w:rFonts w:ascii="Arial" w:eastAsia="Times New Roman" w:hAnsi="Arial" w:cs="Arial"/>
          <w:b/>
          <w:bCs/>
          <w:sz w:val="31"/>
          <w:szCs w:val="31"/>
          <w:lang w:eastAsia="sr-Latn-RS"/>
        </w:rPr>
      </w:pPr>
      <w:bookmarkStart w:id="68" w:name="str_29"/>
      <w:bookmarkEnd w:id="68"/>
      <w:r w:rsidRPr="00C11B63">
        <w:rPr>
          <w:rFonts w:ascii="Arial" w:eastAsia="Times New Roman" w:hAnsi="Arial" w:cs="Arial"/>
          <w:b/>
          <w:bCs/>
          <w:sz w:val="31"/>
          <w:szCs w:val="31"/>
          <w:lang w:eastAsia="sr-Latn-RS"/>
        </w:rPr>
        <w:t xml:space="preserve">Prilog 2.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r w:rsidRPr="00C11B63">
        <w:rPr>
          <w:rFonts w:ascii="Arial" w:eastAsia="Times New Roman" w:hAnsi="Arial" w:cs="Arial"/>
          <w:b/>
          <w:bCs/>
          <w:sz w:val="31"/>
          <w:szCs w:val="31"/>
          <w:lang w:eastAsia="sr-Latn-RS"/>
        </w:rPr>
        <w:t xml:space="preserve">GRANIČNE VREDNOSTI EMISIJA ZA SREDNJA POSTROJENJA ZA SAGOREVANJE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69" w:name="str_30"/>
      <w:bookmarkEnd w:id="69"/>
      <w:r w:rsidRPr="00C11B63">
        <w:rPr>
          <w:rFonts w:ascii="Arial" w:eastAsia="Times New Roman" w:hAnsi="Arial" w:cs="Arial"/>
          <w:sz w:val="28"/>
          <w:szCs w:val="28"/>
          <w:lang w:eastAsia="sr-Latn-RS"/>
        </w:rPr>
        <w:t xml:space="preserve">A) GRANIČNE VREDNOSTI EMISIJA ZA POSTOJEĆA SREDNJA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skladu sa članom 20. stav 1. ove uredbe utvrđuju se granične vrednosti emisija zagađujućih materija za postojeća srednja postrojenja za sagorevanje, u zavisnosti od vrste goriva koja se koriste.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70" w:name="str_31"/>
      <w:bookmarkEnd w:id="70"/>
      <w:r w:rsidRPr="00C11B63">
        <w:rPr>
          <w:rFonts w:ascii="Arial" w:eastAsia="Times New Roman" w:hAnsi="Arial" w:cs="Arial"/>
          <w:b/>
          <w:bCs/>
          <w:sz w:val="24"/>
          <w:szCs w:val="24"/>
          <w:lang w:eastAsia="sr-Latn-RS"/>
        </w:rPr>
        <w:t xml:space="preserve">Deo 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ČVRSTA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postojeća srednja postrojenja za sagorevanje koja koriste čvrsta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78"/>
        <w:gridCol w:w="3779"/>
        <w:gridCol w:w="1309"/>
        <w:gridCol w:w="156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w:t>
            </w:r>
            <w:r w:rsidRPr="00C11B63">
              <w:rPr>
                <w:rFonts w:ascii="Arial" w:eastAsia="Times New Roman" w:hAnsi="Arial" w:cs="Arial"/>
                <w:lang w:eastAsia="sr-Latn-RS"/>
              </w:rPr>
              <w:br/>
              <w:t>(</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650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oksidi sumpora izraženi kao SO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1700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&lt; 5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azot </w:t>
            </w:r>
            <w:proofErr w:type="spellStart"/>
            <w:r w:rsidRPr="00C11B63">
              <w:rPr>
                <w:rFonts w:ascii="Arial" w:eastAsia="Times New Roman" w:hAnsi="Arial" w:cs="Arial"/>
                <w:lang w:eastAsia="sr-Latn-RS"/>
              </w:rPr>
              <w:t>suboksid</w:t>
            </w:r>
            <w:proofErr w:type="spellEnd"/>
            <w:r w:rsidRPr="00C11B63">
              <w:rPr>
                <w:rFonts w:ascii="Arial" w:eastAsia="Times New Roman" w:hAnsi="Arial" w:cs="Arial"/>
                <w:lang w:eastAsia="sr-Latn-RS"/>
              </w:rPr>
              <w:t xml:space="preserve"> - N</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sa </w:t>
            </w:r>
            <w:proofErr w:type="spellStart"/>
            <w:r w:rsidRPr="00C11B63">
              <w:rPr>
                <w:rFonts w:ascii="Arial" w:eastAsia="Times New Roman" w:hAnsi="Arial" w:cs="Arial"/>
                <w:lang w:eastAsia="sr-Latn-RS"/>
              </w:rPr>
              <w:t>fluidizovanim</w:t>
            </w:r>
            <w:proofErr w:type="spellEnd"/>
            <w:r w:rsidRPr="00C11B63">
              <w:rPr>
                <w:rFonts w:ascii="Arial" w:eastAsia="Times New Roman" w:hAnsi="Arial" w:cs="Arial"/>
                <w:lang w:eastAsia="sr-Latn-RS"/>
              </w:rPr>
              <w:t xml:space="preserve"> slojem koja koriste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ukupni organski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drvo, 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postojeća srednja postrojenja za sagorevanje koja koriste ugalj, briket i </w:t>
      </w:r>
      <w:proofErr w:type="spellStart"/>
      <w:r w:rsidRPr="00C11B63">
        <w:rPr>
          <w:rFonts w:ascii="Arial" w:eastAsia="Times New Roman" w:hAnsi="Arial" w:cs="Arial"/>
          <w:lang w:eastAsia="sr-Latn-RS"/>
        </w:rPr>
        <w:t>koks</w:t>
      </w:r>
      <w:proofErr w:type="spellEnd"/>
      <w:r w:rsidRPr="00C11B63">
        <w:rPr>
          <w:rFonts w:ascii="Arial" w:eastAsia="Times New Roman" w:hAnsi="Arial" w:cs="Arial"/>
          <w:lang w:eastAsia="sr-Latn-RS"/>
        </w:rPr>
        <w:t xml:space="preserve"> iz uglja iznosi 7% a za druga čvrsta goriva zapreminski udeo kiseonika u otpadnom gasu iznosi 11%.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71" w:name="str_32"/>
      <w:bookmarkEnd w:id="71"/>
      <w:r w:rsidRPr="00C11B63">
        <w:rPr>
          <w:rFonts w:ascii="Arial" w:eastAsia="Times New Roman" w:hAnsi="Arial" w:cs="Arial"/>
          <w:b/>
          <w:bCs/>
          <w:sz w:val="24"/>
          <w:szCs w:val="24"/>
          <w:lang w:eastAsia="sr-Latn-RS"/>
        </w:rPr>
        <w:t xml:space="preserve">Deo 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TEČNA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postojeća srednja postrojenja za sagorevanje koja koriste tečna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57"/>
        <w:gridCol w:w="2291"/>
        <w:gridCol w:w="5284"/>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(mg/normalni </w:t>
            </w:r>
            <w:r w:rsidRPr="00C11B63">
              <w:rPr>
                <w:rFonts w:ascii="Arial" w:eastAsia="Times New Roman" w:hAnsi="Arial" w:cs="Arial"/>
                <w:sz w:val="20"/>
                <w:szCs w:val="20"/>
                <w:lang w:eastAsia="sr-Latn-RS"/>
              </w:rPr>
              <w:t>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tečna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170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ulje za loženje srednje EVRO S, ulje za loženje nisko sumporno gorivo-specijalno NSG-S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ulje za loženje srednje 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oksidi sumpora izraženi kao SO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tečna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1700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(osim za postrojenja koja koriste ulje za loženje srednje EVRO S, ulje za loženje nisko sumporno gorivo-specijalno NSG-S, ulje za loženje srednje S, metanol, </w:t>
            </w:r>
            <w:proofErr w:type="spellStart"/>
            <w:r w:rsidRPr="00C11B63">
              <w:rPr>
                <w:rFonts w:ascii="Arial" w:eastAsia="Times New Roman" w:hAnsi="Arial" w:cs="Arial"/>
                <w:lang w:eastAsia="sr-Latn-RS"/>
              </w:rPr>
              <w:t>etanol</w:t>
            </w:r>
            <w:proofErr w:type="spellEnd"/>
            <w:r w:rsidRPr="00C11B63">
              <w:rPr>
                <w:rFonts w:ascii="Arial" w:eastAsia="Times New Roman" w:hAnsi="Arial" w:cs="Arial"/>
                <w:lang w:eastAsia="sr-Latn-RS"/>
              </w:rPr>
              <w:t xml:space="preserve">, sirova biljna ulja, </w:t>
            </w:r>
            <w:proofErr w:type="spellStart"/>
            <w:r w:rsidRPr="00C11B63">
              <w:rPr>
                <w:rFonts w:ascii="Arial" w:eastAsia="Times New Roman" w:hAnsi="Arial" w:cs="Arial"/>
                <w:lang w:eastAsia="sr-Latn-RS"/>
              </w:rPr>
              <w:t>metilestar</w:t>
            </w:r>
            <w:proofErr w:type="spellEnd"/>
            <w:r w:rsidRPr="00C11B63">
              <w:rPr>
                <w:rFonts w:ascii="Arial" w:eastAsia="Times New Roman" w:hAnsi="Arial" w:cs="Arial"/>
                <w:lang w:eastAsia="sr-Latn-RS"/>
              </w:rPr>
              <w:t xml:space="preserve"> iz biljnih ulja kod kojih se ne određuje emisija praškastih materija)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Dimni broj iznosi 1 za postojeća srednja postrojenja za sagorevanje koja kao gorivo koriste ulje za loženje srednje EVRO S i ulje za loženje nisko sumporno gorivo-specijalno NSG-S u skladu sa propisom kojim se uređuju tehnički i drugi zahtevi koje moraju da ispunjavaju tečna goriva naftnog porekla koja se koriste kao energetska goriva koja se stavljaju u promet na tržište Republike Srbije, zatim metanol, </w:t>
      </w:r>
      <w:proofErr w:type="spellStart"/>
      <w:r w:rsidRPr="00C11B63">
        <w:rPr>
          <w:rFonts w:ascii="Arial" w:eastAsia="Times New Roman" w:hAnsi="Arial" w:cs="Arial"/>
          <w:lang w:eastAsia="sr-Latn-RS"/>
        </w:rPr>
        <w:t>etanol</w:t>
      </w:r>
      <w:proofErr w:type="spellEnd"/>
      <w:r w:rsidRPr="00C11B63">
        <w:rPr>
          <w:rFonts w:ascii="Arial" w:eastAsia="Times New Roman" w:hAnsi="Arial" w:cs="Arial"/>
          <w:lang w:eastAsia="sr-Latn-RS"/>
        </w:rPr>
        <w:t xml:space="preserve">, sirova biljna ulja, </w:t>
      </w:r>
      <w:proofErr w:type="spellStart"/>
      <w:r w:rsidRPr="00C11B63">
        <w:rPr>
          <w:rFonts w:ascii="Arial" w:eastAsia="Times New Roman" w:hAnsi="Arial" w:cs="Arial"/>
          <w:lang w:eastAsia="sr-Latn-RS"/>
        </w:rPr>
        <w:t>metilestar</w:t>
      </w:r>
      <w:proofErr w:type="spellEnd"/>
      <w:r w:rsidRPr="00C11B63">
        <w:rPr>
          <w:rFonts w:ascii="Arial" w:eastAsia="Times New Roman" w:hAnsi="Arial" w:cs="Arial"/>
          <w:lang w:eastAsia="sr-Latn-RS"/>
        </w:rPr>
        <w:t xml:space="preserve"> iz biljnih ulja.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Zapreminski udeo kiseonika u otpadnom gasu za postojeća srednja postrojenja za sagorevanje koja koriste otpadnu lužinu iz procesa proizvodnje celuloze iznosi 6% a za druga tečna goriva, osim otpadne lužine iz procesa proizvodnje celuloze zapreminski udeo kiseonika u otpadnom gasu iznosi 3%.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72" w:name="str_33"/>
      <w:bookmarkEnd w:id="72"/>
      <w:r w:rsidRPr="00C11B63">
        <w:rPr>
          <w:rFonts w:ascii="Arial" w:eastAsia="Times New Roman" w:hAnsi="Arial" w:cs="Arial"/>
          <w:b/>
          <w:bCs/>
          <w:sz w:val="24"/>
          <w:szCs w:val="24"/>
          <w:lang w:eastAsia="sr-Latn-RS"/>
        </w:rPr>
        <w:t xml:space="preserve">Deo III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GASOVITA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postojeća srednja postrojenja za sagorevanje koja koriste gasovita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871"/>
        <w:gridCol w:w="4679"/>
        <w:gridCol w:w="1122"/>
        <w:gridCol w:w="1460"/>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w:t>
            </w:r>
            <w:r w:rsidRPr="00C11B63">
              <w:rPr>
                <w:rFonts w:ascii="Arial" w:eastAsia="Times New Roman" w:hAnsi="Arial" w:cs="Arial"/>
                <w:lang w:eastAsia="sr-Latn-RS"/>
              </w:rPr>
              <w:br/>
              <w:t>(</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gasovita </w:t>
            </w:r>
            <w:r w:rsidRPr="00C11B63">
              <w:rPr>
                <w:rFonts w:ascii="Arial" w:eastAsia="Times New Roman" w:hAnsi="Arial" w:cs="Arial"/>
                <w:lang w:eastAsia="sr-Latn-RS"/>
              </w:rPr>
              <w:br/>
              <w:t xml:space="preserve">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gasovita </w:t>
            </w:r>
            <w:r w:rsidRPr="00C11B63">
              <w:rPr>
                <w:rFonts w:ascii="Arial" w:eastAsia="Times New Roman" w:hAnsi="Arial" w:cs="Arial"/>
                <w:lang w:eastAsia="sr-Latn-RS"/>
              </w:rPr>
              <w:br/>
              <w:t xml:space="preserve">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oksidi sumpora izraženi kao SO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prirodni gas i tečni naftni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druga gasovita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prirodni gas, tečni naftni gas, </w:t>
            </w:r>
            <w:proofErr w:type="spellStart"/>
            <w:r w:rsidRPr="00C11B63">
              <w:rPr>
                <w:rFonts w:ascii="Arial" w:eastAsia="Times New Roman" w:hAnsi="Arial" w:cs="Arial"/>
                <w:lang w:eastAsia="sr-Latn-RS"/>
              </w:rPr>
              <w:t>rafinerijski</w:t>
            </w:r>
            <w:proofErr w:type="spellEnd"/>
            <w:r w:rsidRPr="00C11B63">
              <w:rPr>
                <w:rFonts w:ascii="Arial" w:eastAsia="Times New Roman" w:hAnsi="Arial" w:cs="Arial"/>
                <w:lang w:eastAsia="sr-Latn-RS"/>
              </w:rPr>
              <w:t xml:space="preserve"> gas, gas iz tretmana otpadnih voda i biogas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druga gasovita goriva osim prirodnog gasa, tečnog naftnog gasa, </w:t>
            </w:r>
            <w:proofErr w:type="spellStart"/>
            <w:r w:rsidRPr="00C11B63">
              <w:rPr>
                <w:rFonts w:ascii="Arial" w:eastAsia="Times New Roman" w:hAnsi="Arial" w:cs="Arial"/>
                <w:lang w:eastAsia="sr-Latn-RS"/>
              </w:rPr>
              <w:t>rafinerijskog</w:t>
            </w:r>
            <w:proofErr w:type="spellEnd"/>
            <w:r w:rsidRPr="00C11B63">
              <w:rPr>
                <w:rFonts w:ascii="Arial" w:eastAsia="Times New Roman" w:hAnsi="Arial" w:cs="Arial"/>
                <w:lang w:eastAsia="sr-Latn-RS"/>
              </w:rPr>
              <w:t xml:space="preserve"> gasa, gasa iz tretmana otpadnih voda i biogasa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postojeća srednja postrojenja za sagorevanje koja koriste gasovita goriva iznosi 3%.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73" w:name="str_34"/>
      <w:bookmarkEnd w:id="73"/>
      <w:r w:rsidRPr="00C11B63">
        <w:rPr>
          <w:rFonts w:ascii="Arial" w:eastAsia="Times New Roman" w:hAnsi="Arial" w:cs="Arial"/>
          <w:sz w:val="28"/>
          <w:szCs w:val="28"/>
          <w:lang w:eastAsia="sr-Latn-RS"/>
        </w:rPr>
        <w:t xml:space="preserve">B) GRANIČNE VREDNOSTI EMISIJA ZAGAĐUJUĆIH MATERIJA ZA NOVA SREDNJA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skladu sa članom 20. stav 2. ove uredbe utvrđuju se granične vrednosti emisija zagađujućih materija za nova srednja postrojenja za sagorevanje, u zavisnosti od vrste goriva koja se koriste.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74" w:name="str_35"/>
      <w:bookmarkEnd w:id="74"/>
      <w:r w:rsidRPr="00C11B63">
        <w:rPr>
          <w:rFonts w:ascii="Arial" w:eastAsia="Times New Roman" w:hAnsi="Arial" w:cs="Arial"/>
          <w:b/>
          <w:bCs/>
          <w:sz w:val="24"/>
          <w:szCs w:val="24"/>
          <w:lang w:eastAsia="sr-Latn-RS"/>
        </w:rPr>
        <w:t xml:space="preserve">Deo 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ČVRSTA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nova srednja postrojenja za sagorevanje koja koriste čvrsta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47"/>
        <w:gridCol w:w="4702"/>
        <w:gridCol w:w="1059"/>
        <w:gridCol w:w="1424"/>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w:t>
            </w:r>
            <w:r w:rsidRPr="00C11B63">
              <w:rPr>
                <w:rFonts w:ascii="Arial" w:eastAsia="Times New Roman" w:hAnsi="Arial" w:cs="Arial"/>
                <w:lang w:eastAsia="sr-Latn-RS"/>
              </w:rPr>
              <w:br/>
              <w:t xml:space="preserve">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w:t>
            </w:r>
            <w:r w:rsidRPr="00C11B63">
              <w:rPr>
                <w:rFonts w:ascii="Arial" w:eastAsia="Times New Roman" w:hAnsi="Arial" w:cs="Arial"/>
                <w:lang w:eastAsia="sr-Latn-RS"/>
              </w:rPr>
              <w:br/>
              <w:t>(</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GVE</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praškaste </w:t>
            </w:r>
            <w:r w:rsidRPr="00C11B63">
              <w:rPr>
                <w:rFonts w:ascii="Arial" w:eastAsia="Times New Roman" w:hAnsi="Arial" w:cs="Arial"/>
                <w:lang w:eastAsia="sr-Latn-RS"/>
              </w:rPr>
              <w:br/>
              <w:t xml:space="preserve">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sz w:val="15"/>
                <w:szCs w:val="15"/>
                <w:vertAlign w:val="subscript"/>
                <w:lang w:eastAsia="sr-Latn-RS"/>
              </w:rPr>
              <w:t xml:space="preserve"> </w:t>
            </w:r>
            <w:r w:rsidRPr="00C11B63">
              <w:rPr>
                <w:rFonts w:ascii="Arial" w:eastAsia="Times New Roman" w:hAnsi="Arial" w:cs="Arial"/>
                <w:lang w:eastAsia="sr-Latn-RS"/>
              </w:rPr>
              <w:t>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drvo, 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sa </w:t>
            </w:r>
            <w:proofErr w:type="spellStart"/>
            <w:r w:rsidRPr="00C11B63">
              <w:rPr>
                <w:rFonts w:ascii="Arial" w:eastAsia="Times New Roman" w:hAnsi="Arial" w:cs="Arial"/>
                <w:lang w:eastAsia="sr-Latn-RS"/>
              </w:rPr>
              <w:t>fluidizovanim</w:t>
            </w:r>
            <w:proofErr w:type="spellEnd"/>
            <w:r w:rsidRPr="00C11B63">
              <w:rPr>
                <w:rFonts w:ascii="Arial" w:eastAsia="Times New Roman" w:hAnsi="Arial" w:cs="Arial"/>
                <w:lang w:eastAsia="sr-Latn-RS"/>
              </w:rPr>
              <w:t xml:space="preserve"> slojem pri upotrebi drugih čvrstih goriva, osim drveta i briketa i </w:t>
            </w:r>
            <w:proofErr w:type="spellStart"/>
            <w:r w:rsidRPr="00C11B63">
              <w:rPr>
                <w:rFonts w:ascii="Arial" w:eastAsia="Times New Roman" w:hAnsi="Arial" w:cs="Arial"/>
                <w:lang w:eastAsia="sr-Latn-RS"/>
              </w:rPr>
              <w:t>peleta</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druga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&lt; 10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azot </w:t>
            </w:r>
            <w:proofErr w:type="spellStart"/>
            <w:r w:rsidRPr="00C11B63">
              <w:rPr>
                <w:rFonts w:ascii="Arial" w:eastAsia="Times New Roman" w:hAnsi="Arial" w:cs="Arial"/>
                <w:lang w:eastAsia="sr-Latn-RS"/>
              </w:rPr>
              <w:t>suboksid</w:t>
            </w:r>
            <w:proofErr w:type="spellEnd"/>
            <w:r w:rsidRPr="00C11B63">
              <w:rPr>
                <w:rFonts w:ascii="Arial" w:eastAsia="Times New Roman" w:hAnsi="Arial" w:cs="Arial"/>
                <w:lang w:eastAsia="sr-Latn-RS"/>
              </w:rPr>
              <w:t xml:space="preserve"> - N</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sa </w:t>
            </w:r>
            <w:proofErr w:type="spellStart"/>
            <w:r w:rsidRPr="00C11B63">
              <w:rPr>
                <w:rFonts w:ascii="Arial" w:eastAsia="Times New Roman" w:hAnsi="Arial" w:cs="Arial"/>
                <w:lang w:eastAsia="sr-Latn-RS"/>
              </w:rPr>
              <w:t>fluidizovanim</w:t>
            </w:r>
            <w:proofErr w:type="spellEnd"/>
            <w:r w:rsidRPr="00C11B63">
              <w:rPr>
                <w:rFonts w:ascii="Arial" w:eastAsia="Times New Roman" w:hAnsi="Arial" w:cs="Arial"/>
                <w:lang w:eastAsia="sr-Latn-RS"/>
              </w:rPr>
              <w:t xml:space="preserve"> slojem koje koriste 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oksidi sumpora izraženi kao SO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sa </w:t>
            </w:r>
            <w:proofErr w:type="spellStart"/>
            <w:r w:rsidRPr="00C11B63">
              <w:rPr>
                <w:rFonts w:ascii="Arial" w:eastAsia="Times New Roman" w:hAnsi="Arial" w:cs="Arial"/>
                <w:lang w:eastAsia="sr-Latn-RS"/>
              </w:rPr>
              <w:t>fluidizovanim</w:t>
            </w:r>
            <w:proofErr w:type="spellEnd"/>
            <w:r w:rsidRPr="00C11B63">
              <w:rPr>
                <w:rFonts w:ascii="Arial" w:eastAsia="Times New Roman" w:hAnsi="Arial" w:cs="Arial"/>
                <w:lang w:eastAsia="sr-Latn-RS"/>
              </w:rPr>
              <w:t xml:space="preserve"> slojem, uz uslov da je emisioni faktor, izražen kao odnos količine sumpora u otpadnim gasovima i količine sumpora u gorivu, manji od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ostala postrojenja pri korišćenju kamenog uglja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1300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druga čvrsta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drvo, 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poljoprivredna biomasa (žitarice, slama, suncokretova </w:t>
            </w:r>
            <w:proofErr w:type="spellStart"/>
            <w:r w:rsidRPr="00C11B63">
              <w:rPr>
                <w:rFonts w:ascii="Arial" w:eastAsia="Times New Roman" w:hAnsi="Arial" w:cs="Arial"/>
                <w:lang w:eastAsia="sr-Latn-RS"/>
              </w:rPr>
              <w:t>ljuspa</w:t>
            </w:r>
            <w:proofErr w:type="spellEnd"/>
            <w:r w:rsidRPr="00C11B63">
              <w:rPr>
                <w:rFonts w:ascii="Arial" w:eastAsia="Times New Roman" w:hAnsi="Arial" w:cs="Arial"/>
                <w:lang w:eastAsia="sr-Latn-RS"/>
              </w:rPr>
              <w:t xml:space="preserve">, </w:t>
            </w:r>
            <w:proofErr w:type="spellStart"/>
            <w:r w:rsidRPr="00C11B63">
              <w:rPr>
                <w:rFonts w:ascii="Arial" w:eastAsia="Times New Roman" w:hAnsi="Arial" w:cs="Arial"/>
                <w:lang w:eastAsia="sr-Latn-RS"/>
              </w:rPr>
              <w:t>mikantus</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nova srednja postrojenja za sagorevanje koja koriste ugalj, briket i </w:t>
      </w:r>
      <w:proofErr w:type="spellStart"/>
      <w:r w:rsidRPr="00C11B63">
        <w:rPr>
          <w:rFonts w:ascii="Arial" w:eastAsia="Times New Roman" w:hAnsi="Arial" w:cs="Arial"/>
          <w:lang w:eastAsia="sr-Latn-RS"/>
        </w:rPr>
        <w:t>koks</w:t>
      </w:r>
      <w:proofErr w:type="spellEnd"/>
      <w:r w:rsidRPr="00C11B63">
        <w:rPr>
          <w:rFonts w:ascii="Arial" w:eastAsia="Times New Roman" w:hAnsi="Arial" w:cs="Arial"/>
          <w:lang w:eastAsia="sr-Latn-RS"/>
        </w:rPr>
        <w:t xml:space="preserve"> iz uglja iznosi 7% a za druga čvrsta goriva zapreminski udeo kiseonika u otpadnom gasu iznosi 11%.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75" w:name="str_36"/>
      <w:bookmarkEnd w:id="75"/>
      <w:r w:rsidRPr="00C11B63">
        <w:rPr>
          <w:rFonts w:ascii="Arial" w:eastAsia="Times New Roman" w:hAnsi="Arial" w:cs="Arial"/>
          <w:b/>
          <w:bCs/>
          <w:sz w:val="24"/>
          <w:szCs w:val="24"/>
          <w:lang w:eastAsia="sr-Latn-RS"/>
        </w:rPr>
        <w:t xml:space="preserve">Deo 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TEČNA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nova srednja postrojenja za sagorevanje koja koriste tečna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38"/>
        <w:gridCol w:w="3460"/>
        <w:gridCol w:w="4234"/>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GVE</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(osim za postrojenja koja kao gorivo koriste ulje za loženje srednje EVRO S, ulje za loženje nisko sumporno gorivo-specijalno NSG-S, ulje za loženje srednje S, metanol, </w:t>
            </w:r>
            <w:proofErr w:type="spellStart"/>
            <w:r w:rsidRPr="00C11B63">
              <w:rPr>
                <w:rFonts w:ascii="Arial" w:eastAsia="Times New Roman" w:hAnsi="Arial" w:cs="Arial"/>
                <w:lang w:eastAsia="sr-Latn-RS"/>
              </w:rPr>
              <w:t>etanol</w:t>
            </w:r>
            <w:proofErr w:type="spellEnd"/>
            <w:r w:rsidRPr="00C11B63">
              <w:rPr>
                <w:rFonts w:ascii="Arial" w:eastAsia="Times New Roman" w:hAnsi="Arial" w:cs="Arial"/>
                <w:lang w:eastAsia="sr-Latn-RS"/>
              </w:rPr>
              <w:t xml:space="preserve">, sirova biljna ulja, </w:t>
            </w:r>
            <w:proofErr w:type="spellStart"/>
            <w:r w:rsidRPr="00C11B63">
              <w:rPr>
                <w:rFonts w:ascii="Arial" w:eastAsia="Times New Roman" w:hAnsi="Arial" w:cs="Arial"/>
                <w:lang w:eastAsia="sr-Latn-RS"/>
              </w:rPr>
              <w:t>metilestar</w:t>
            </w:r>
            <w:proofErr w:type="spellEnd"/>
            <w:r w:rsidRPr="00C11B63">
              <w:rPr>
                <w:rFonts w:ascii="Arial" w:eastAsia="Times New Roman" w:hAnsi="Arial" w:cs="Arial"/>
                <w:lang w:eastAsia="sr-Latn-RS"/>
              </w:rPr>
              <w:t xml:space="preserve"> iz biljnih ulja kod kojih se ne određuje emisija praškastih materija)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tečna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80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br/>
            </w:r>
            <w:r w:rsidRPr="00C11B63">
              <w:rPr>
                <w:rFonts w:ascii="Arial" w:eastAsia="Times New Roman" w:hAnsi="Arial" w:cs="Arial"/>
                <w:lang w:eastAsia="sr-Latn-RS"/>
              </w:rPr>
              <w:lastRenderedPageBreak/>
              <w:t>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za postrojenja koja koriste ulje za loženje srednje EVRO S, ulje za </w:t>
            </w:r>
            <w:r w:rsidRPr="00C11B63">
              <w:rPr>
                <w:rFonts w:ascii="Arial" w:eastAsia="Times New Roman" w:hAnsi="Arial" w:cs="Arial"/>
                <w:lang w:eastAsia="sr-Latn-RS"/>
              </w:rPr>
              <w:lastRenderedPageBreak/>
              <w:t xml:space="preserve">loženje nisko sumporno gorivo-specijalno NSG-S, ulje za loženje srednje S kod kojih je temperatura vode u kotlu niža od 110°C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180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ulje za loženje srednje EVRO S i ulje za loženje nisko sumporno gorivo-specijalno NSG-S, ulje za loženje srednje S kod kojih je temperatura vode u kotlu viša od 110°C a niža od 210°C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ulje za loženje srednje EVRO S i ulje za loženje nisko sumporno gorivo-specijalno NSG-S, ulje za loženje srednje S kod kojih je temperatura vode u kotlu viša od 210°C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druga tečna goriva ili ako medijum za prenos toplote u kotlu nije 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oksidi sumpora izraženi kao SO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ulje za loženje srednje 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1300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druga tečna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850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Dimni broj iznosi 1 za nova srednja postrojenja koja kao gorivo koriste ulje za loženje srednje EVRO S, ulje za loženje nisko sumporno gorivo-specijalno NSG-S kod kojih je temperatura u skladu sa propisom kojim se uređuju tehnički i drugi zahtevi koje moraju da ispunjavaju tečna goriva naftnog porekla koja se koriste kao energetska goriva koja se stavljaju u promet na tržište Republike Srbije, zatim metanol, </w:t>
      </w:r>
      <w:proofErr w:type="spellStart"/>
      <w:r w:rsidRPr="00C11B63">
        <w:rPr>
          <w:rFonts w:ascii="Arial" w:eastAsia="Times New Roman" w:hAnsi="Arial" w:cs="Arial"/>
          <w:lang w:eastAsia="sr-Latn-RS"/>
        </w:rPr>
        <w:t>etanol</w:t>
      </w:r>
      <w:proofErr w:type="spellEnd"/>
      <w:r w:rsidRPr="00C11B63">
        <w:rPr>
          <w:rFonts w:ascii="Arial" w:eastAsia="Times New Roman" w:hAnsi="Arial" w:cs="Arial"/>
          <w:lang w:eastAsia="sr-Latn-RS"/>
        </w:rPr>
        <w:t xml:space="preserve">, sirova biljna ulja, </w:t>
      </w:r>
      <w:proofErr w:type="spellStart"/>
      <w:r w:rsidRPr="00C11B63">
        <w:rPr>
          <w:rFonts w:ascii="Arial" w:eastAsia="Times New Roman" w:hAnsi="Arial" w:cs="Arial"/>
          <w:lang w:eastAsia="sr-Latn-RS"/>
        </w:rPr>
        <w:t>metilestar</w:t>
      </w:r>
      <w:proofErr w:type="spellEnd"/>
      <w:r w:rsidRPr="00C11B63">
        <w:rPr>
          <w:rFonts w:ascii="Arial" w:eastAsia="Times New Roman" w:hAnsi="Arial" w:cs="Arial"/>
          <w:lang w:eastAsia="sr-Latn-RS"/>
        </w:rPr>
        <w:t xml:space="preserve"> iz biljnih ulja.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nova srednja postrojenja za sagorevanje koja kao gorivo koriste otpadnu lužinu iz procesa proizvodnje celuloze iznosi 6% a pri upotrebi drugih tečnih goriva zapreminski udeo kiseonika u otpadnom gasu iznosi 3%.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76" w:name="str_37"/>
      <w:bookmarkEnd w:id="76"/>
      <w:r w:rsidRPr="00C11B63">
        <w:rPr>
          <w:rFonts w:ascii="Arial" w:eastAsia="Times New Roman" w:hAnsi="Arial" w:cs="Arial"/>
          <w:b/>
          <w:bCs/>
          <w:sz w:val="24"/>
          <w:szCs w:val="24"/>
          <w:lang w:eastAsia="sr-Latn-RS"/>
        </w:rPr>
        <w:t xml:space="preserve">Deo III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GASOVITA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zagađujućih materija za nova srednja postrojenja za sagorevanje koja koriste gasovita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62"/>
        <w:gridCol w:w="4544"/>
        <w:gridCol w:w="1150"/>
        <w:gridCol w:w="147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w:t>
            </w:r>
            <w:r w:rsidRPr="00C11B63">
              <w:rPr>
                <w:rFonts w:ascii="Arial" w:eastAsia="Times New Roman" w:hAnsi="Arial" w:cs="Arial"/>
                <w:lang w:eastAsia="sr-Latn-RS"/>
              </w:rPr>
              <w:br/>
              <w:t xml:space="preserve">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w:t>
            </w:r>
            <w:r w:rsidRPr="00C11B63">
              <w:rPr>
                <w:rFonts w:ascii="Arial" w:eastAsia="Times New Roman" w:hAnsi="Arial" w:cs="Arial"/>
                <w:lang w:eastAsia="sr-Latn-RS"/>
              </w:rPr>
              <w:br/>
              <w:t>(</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GVE</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praškaste </w:t>
            </w:r>
            <w:r w:rsidRPr="00C11B63">
              <w:rPr>
                <w:rFonts w:ascii="Arial" w:eastAsia="Times New Roman" w:hAnsi="Arial" w:cs="Arial"/>
                <w:lang w:eastAsia="sr-Latn-RS"/>
              </w:rPr>
              <w:br/>
              <w:t xml:space="preserve">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prirodni gas, tečni naftni gas, </w:t>
            </w:r>
            <w:proofErr w:type="spellStart"/>
            <w:r w:rsidRPr="00C11B63">
              <w:rPr>
                <w:rFonts w:ascii="Arial" w:eastAsia="Times New Roman" w:hAnsi="Arial" w:cs="Arial"/>
                <w:lang w:eastAsia="sr-Latn-RS"/>
              </w:rPr>
              <w:t>rafinerijski</w:t>
            </w:r>
            <w:proofErr w:type="spellEnd"/>
            <w:r w:rsidRPr="00C11B63">
              <w:rPr>
                <w:rFonts w:ascii="Arial" w:eastAsia="Times New Roman" w:hAnsi="Arial" w:cs="Arial"/>
                <w:lang w:eastAsia="sr-Latn-RS"/>
              </w:rPr>
              <w:t xml:space="preserve"> gas, gas iz tretmana otpadnih voda, biogas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druga gasovita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w:t>
            </w:r>
            <w:r w:rsidRPr="00C11B63">
              <w:rPr>
                <w:rFonts w:ascii="Arial" w:eastAsia="Times New Roman" w:hAnsi="Arial" w:cs="Arial"/>
                <w:lang w:eastAsia="sr-Latn-RS"/>
              </w:rPr>
              <w:lastRenderedPageBreak/>
              <w:t xml:space="preserve">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sva gasovita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80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lastRenderedPageBreak/>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prirodni gas kod kojih je temperatura vode u kotlu niža od 110°C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prirodni gas kod kojih je temperatura vode u kotlu viša od 110° C a niža od 210°C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110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prirodni gas kod kojih je temperatura vode u kotlu viša od 210°C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 postrojenja koja koriste druga gasovita goriva ili ako medijum za prenos toplote u kotlu nije 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sumpora </w:t>
            </w:r>
            <w:r w:rsidRPr="00C11B63">
              <w:rPr>
                <w:rFonts w:ascii="Arial" w:eastAsia="Times New Roman" w:hAnsi="Arial" w:cs="Arial"/>
                <w:lang w:eastAsia="sr-Latn-RS"/>
              </w:rPr>
              <w:br/>
              <w:t>izraženi kao SO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tečni naftni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rafinerijski</w:t>
            </w:r>
            <w:proofErr w:type="spellEnd"/>
            <w:r w:rsidRPr="00C11B63">
              <w:rPr>
                <w:rFonts w:ascii="Arial" w:eastAsia="Times New Roman" w:hAnsi="Arial" w:cs="Arial"/>
                <w:lang w:eastAsia="sr-Latn-RS"/>
              </w:rPr>
              <w:t xml:space="preserve"> gas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druga gasovita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350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nova srednja postrojenja za sagorevanje koja koriste gasovita goriva iznosi 3%.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bookmarkStart w:id="77" w:name="str_38"/>
      <w:bookmarkEnd w:id="77"/>
      <w:r w:rsidRPr="00C11B63">
        <w:rPr>
          <w:rFonts w:ascii="Arial" w:eastAsia="Times New Roman" w:hAnsi="Arial" w:cs="Arial"/>
          <w:b/>
          <w:bCs/>
          <w:sz w:val="31"/>
          <w:szCs w:val="31"/>
          <w:lang w:eastAsia="sr-Latn-RS"/>
        </w:rPr>
        <w:t xml:space="preserve">Prilog 3.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r w:rsidRPr="00C11B63">
        <w:rPr>
          <w:rFonts w:ascii="Arial" w:eastAsia="Times New Roman" w:hAnsi="Arial" w:cs="Arial"/>
          <w:b/>
          <w:bCs/>
          <w:sz w:val="31"/>
          <w:szCs w:val="31"/>
          <w:lang w:eastAsia="sr-Latn-RS"/>
        </w:rPr>
        <w:t xml:space="preserve">GRANIČNE VREDNOSTI EMISIJA ZA MALA POSTROJENJA ZA SAGOREVANJE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78" w:name="str_39"/>
      <w:bookmarkEnd w:id="78"/>
      <w:r w:rsidRPr="00C11B63">
        <w:rPr>
          <w:rFonts w:ascii="Arial" w:eastAsia="Times New Roman" w:hAnsi="Arial" w:cs="Arial"/>
          <w:sz w:val="28"/>
          <w:szCs w:val="28"/>
          <w:lang w:eastAsia="sr-Latn-RS"/>
        </w:rPr>
        <w:t xml:space="preserve">A) GRANIČNE VREDNOSTI EMISIJA ZA POSTOJEĆA MALA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skladu sa članom 25. stav 1. ove uredbe utvrđuju se granične vrednosti emisija zagađujućih materija za postojeća mala postrojenja za sagorevanje, u zavisnosti od vrste goriva koja se koriste.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79" w:name="str_40"/>
      <w:bookmarkEnd w:id="79"/>
      <w:r w:rsidRPr="00C11B63">
        <w:rPr>
          <w:rFonts w:ascii="Arial" w:eastAsia="Times New Roman" w:hAnsi="Arial" w:cs="Arial"/>
          <w:b/>
          <w:bCs/>
          <w:sz w:val="24"/>
          <w:szCs w:val="24"/>
          <w:lang w:eastAsia="sr-Latn-RS"/>
        </w:rPr>
        <w:t xml:space="preserve">Deo 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ČVRSTA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 postojeća mala postrojenja za sagorevanje koja koriste čvrsta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01"/>
        <w:gridCol w:w="3599"/>
        <w:gridCol w:w="1595"/>
        <w:gridCol w:w="1737"/>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w:t>
            </w:r>
            <w:r w:rsidRPr="00C11B63">
              <w:rPr>
                <w:rFonts w:ascii="Arial" w:eastAsia="Times New Roman" w:hAnsi="Arial" w:cs="Arial"/>
                <w:lang w:eastAsia="sr-Latn-RS"/>
              </w:rPr>
              <w:br/>
              <w:t>(</w:t>
            </w:r>
            <w:proofErr w:type="spellStart"/>
            <w:r w:rsidRPr="00C11B63">
              <w:rPr>
                <w:rFonts w:ascii="Arial" w:eastAsia="Times New Roman" w:hAnsi="Arial" w:cs="Arial"/>
                <w:lang w:eastAsia="sr-Latn-RS"/>
              </w:rPr>
              <w:t>kWth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drvo, 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4000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drvo, 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drvo, 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drvo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Zatamnjenje dimnih gasova iznosi 1.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Zapreminski udeo kiseonika u otpadnom gasu za postojeća mala postrojenja za sagorevanje koja koriste ugalj, briket i </w:t>
      </w:r>
      <w:proofErr w:type="spellStart"/>
      <w:r w:rsidRPr="00C11B63">
        <w:rPr>
          <w:rFonts w:ascii="Arial" w:eastAsia="Times New Roman" w:hAnsi="Arial" w:cs="Arial"/>
          <w:lang w:eastAsia="sr-Latn-RS"/>
        </w:rPr>
        <w:t>koks</w:t>
      </w:r>
      <w:proofErr w:type="spellEnd"/>
      <w:r w:rsidRPr="00C11B63">
        <w:rPr>
          <w:rFonts w:ascii="Arial" w:eastAsia="Times New Roman" w:hAnsi="Arial" w:cs="Arial"/>
          <w:lang w:eastAsia="sr-Latn-RS"/>
        </w:rPr>
        <w:t xml:space="preserve"> iz uglja iznosi 8%, a pri korišćenju drugih čvrstih goriva zapreminski udeo kiseonika u otpadnom gasu iznosi 13%.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80" w:name="str_41"/>
      <w:bookmarkEnd w:id="80"/>
      <w:r w:rsidRPr="00C11B63">
        <w:rPr>
          <w:rFonts w:ascii="Arial" w:eastAsia="Times New Roman" w:hAnsi="Arial" w:cs="Arial"/>
          <w:b/>
          <w:bCs/>
          <w:sz w:val="24"/>
          <w:szCs w:val="24"/>
          <w:lang w:eastAsia="sr-Latn-RS"/>
        </w:rPr>
        <w:t xml:space="preserve">Deo 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TEČNA GORIVA I TEČNA GORIVA NAFTNOG POREKLA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 postojeća mala postrojenja za sagorevanje koja koriste tečna goriva i tečna goriva naftnog porekla,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482"/>
        <w:gridCol w:w="3650"/>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(mg/normalni </w:t>
            </w:r>
            <w:r w:rsidRPr="00C11B63">
              <w:rPr>
                <w:rFonts w:ascii="Arial" w:eastAsia="Times New Roman" w:hAnsi="Arial" w:cs="Arial"/>
                <w:sz w:val="20"/>
                <w:szCs w:val="20"/>
                <w:lang w:eastAsia="sr-Latn-RS"/>
              </w:rPr>
              <w:t>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175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Vrednosti za dimni broj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256"/>
        <w:gridCol w:w="287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 (</w:t>
            </w:r>
            <w:proofErr w:type="spellStart"/>
            <w:r w:rsidRPr="00C11B63">
              <w:rPr>
                <w:rFonts w:ascii="Arial" w:eastAsia="Times New Roman" w:hAnsi="Arial" w:cs="Arial"/>
                <w:lang w:eastAsia="sr-Latn-RS"/>
              </w:rPr>
              <w:t>kWth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Dimni broj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&lt; 11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najviše 2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11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postojeća mala postrojenja za sagorevanje koja koriste tečna goriva iznosi 3%.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81" w:name="str_42"/>
      <w:bookmarkEnd w:id="81"/>
      <w:r w:rsidRPr="00C11B63">
        <w:rPr>
          <w:rFonts w:ascii="Arial" w:eastAsia="Times New Roman" w:hAnsi="Arial" w:cs="Arial"/>
          <w:b/>
          <w:bCs/>
          <w:sz w:val="24"/>
          <w:szCs w:val="24"/>
          <w:lang w:eastAsia="sr-Latn-RS"/>
        </w:rPr>
        <w:t xml:space="preserve">Deo III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GASOVITA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za postojeća mala postrojenja za sagorevanje koja koriste gasovita goriva,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123"/>
        <w:gridCol w:w="2790"/>
        <w:gridCol w:w="3219"/>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GVE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gasovita goriva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br/>
              <w:t>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prirodni gas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tečni naftni gas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200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postojeća mala postrojenja za sagorevanje na gasovita goriva iznosi 3%.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82" w:name="str_43"/>
      <w:bookmarkEnd w:id="82"/>
      <w:r w:rsidRPr="00C11B63">
        <w:rPr>
          <w:rFonts w:ascii="Arial" w:eastAsia="Times New Roman" w:hAnsi="Arial" w:cs="Arial"/>
          <w:sz w:val="28"/>
          <w:szCs w:val="28"/>
          <w:lang w:eastAsia="sr-Latn-RS"/>
        </w:rPr>
        <w:t xml:space="preserve">B) GRANIČNE VREDNOSTI EMISIJA ZA NOVA MALA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U skladu sa članom 25. stav 2. ove uredbe utvrđuju se granične vrednosti emisija zagađujućih materija za nova mala postrojenja za sagorevanje, u zavisnosti od vrste goriva koja se koriste.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83" w:name="str_44"/>
      <w:bookmarkEnd w:id="83"/>
      <w:r w:rsidRPr="00C11B63">
        <w:rPr>
          <w:rFonts w:ascii="Arial" w:eastAsia="Times New Roman" w:hAnsi="Arial" w:cs="Arial"/>
          <w:b/>
          <w:bCs/>
          <w:sz w:val="24"/>
          <w:szCs w:val="24"/>
          <w:lang w:eastAsia="sr-Latn-RS"/>
        </w:rPr>
        <w:t xml:space="preserve">Deo 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ČVRSTA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pri korišćenju čvrstog goriva za nova mala postrojenja za sagorevanje,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053"/>
        <w:gridCol w:w="3915"/>
        <w:gridCol w:w="1494"/>
        <w:gridCol w:w="1670"/>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w:t>
            </w:r>
            <w:r w:rsidRPr="00C11B63">
              <w:rPr>
                <w:rFonts w:ascii="Arial" w:eastAsia="Times New Roman" w:hAnsi="Arial" w:cs="Arial"/>
                <w:lang w:eastAsia="sr-Latn-RS"/>
              </w:rPr>
              <w:br/>
              <w:t xml:space="preserve">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w:t>
            </w:r>
            <w:r w:rsidRPr="00C11B63">
              <w:rPr>
                <w:rFonts w:ascii="Arial" w:eastAsia="Times New Roman" w:hAnsi="Arial" w:cs="Arial"/>
                <w:lang w:eastAsia="sr-Latn-RS"/>
              </w:rPr>
              <w:br/>
              <w:t>(</w:t>
            </w:r>
            <w:proofErr w:type="spellStart"/>
            <w:r w:rsidRPr="00C11B63">
              <w:rPr>
                <w:rFonts w:ascii="Arial" w:eastAsia="Times New Roman" w:hAnsi="Arial" w:cs="Arial"/>
                <w:lang w:eastAsia="sr-Latn-RS"/>
              </w:rPr>
              <w:t>kWth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w:t>
            </w:r>
            <w:r w:rsidRPr="00C11B63">
              <w:rPr>
                <w:rFonts w:ascii="Arial" w:eastAsia="Times New Roman" w:hAnsi="Arial" w:cs="Arial"/>
                <w:lang w:eastAsia="sr-Latn-RS"/>
              </w:rPr>
              <w:br/>
              <w:t>(mg/normalni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praškaste </w:t>
            </w:r>
            <w:r w:rsidRPr="00C11B63">
              <w:rPr>
                <w:rFonts w:ascii="Arial" w:eastAsia="Times New Roman" w:hAnsi="Arial" w:cs="Arial"/>
                <w:lang w:eastAsia="sr-Latn-RS"/>
              </w:rPr>
              <w:br/>
              <w:t xml:space="preserve">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90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drvo, osim briketa ili </w:t>
            </w:r>
            <w:proofErr w:type="spellStart"/>
            <w:r w:rsidRPr="00C11B63">
              <w:rPr>
                <w:rFonts w:ascii="Arial" w:eastAsia="Times New Roman" w:hAnsi="Arial" w:cs="Arial"/>
                <w:lang w:eastAsia="sr-Latn-RS"/>
              </w:rPr>
              <w:t>peleta</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4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60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ili drvo, osim briketa ili </w:t>
            </w:r>
            <w:proofErr w:type="spellStart"/>
            <w:r w:rsidRPr="00C11B63">
              <w:rPr>
                <w:rFonts w:ascii="Arial" w:eastAsia="Times New Roman" w:hAnsi="Arial" w:cs="Arial"/>
                <w:lang w:eastAsia="sr-Latn-RS"/>
              </w:rPr>
              <w:t>peleta</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4-500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800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ugalj, drvo, briketi ili </w:t>
            </w:r>
            <w:proofErr w:type="spellStart"/>
            <w:r w:rsidRPr="00C11B63">
              <w:rPr>
                <w:rFonts w:ascii="Arial" w:eastAsia="Times New Roman" w:hAnsi="Arial" w:cs="Arial"/>
                <w:lang w:eastAsia="sr-Latn-RS"/>
              </w:rPr>
              <w:t>peleti</w:t>
            </w:r>
            <w:proofErr w:type="spellEnd"/>
            <w:r w:rsidRPr="00C11B63">
              <w:rPr>
                <w:rFonts w:ascii="Arial" w:eastAsia="Times New Roman" w:hAnsi="Arial" w:cs="Arial"/>
                <w:lang w:eastAsia="sr-Latn-RS"/>
              </w:rPr>
              <w:t xml:space="preserve"> od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500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Zapreminski udeo kiseonika u otpadnom gasu za nova mala postrojenja za sagorevanje na čvrsta goriva iznosi 13%.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84" w:name="str_45"/>
      <w:bookmarkEnd w:id="84"/>
      <w:r w:rsidRPr="00C11B63">
        <w:rPr>
          <w:rFonts w:ascii="Arial" w:eastAsia="Times New Roman" w:hAnsi="Arial" w:cs="Arial"/>
          <w:b/>
          <w:bCs/>
          <w:sz w:val="24"/>
          <w:szCs w:val="24"/>
          <w:lang w:eastAsia="sr-Latn-RS"/>
        </w:rPr>
        <w:t xml:space="preserve">Deo 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TEČNA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pri korišćenju tečnih goriva za nova mala postrojenja za sagorevanje,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12"/>
        <w:gridCol w:w="3846"/>
        <w:gridCol w:w="2674"/>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Vrsta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(mg/normalni </w:t>
            </w:r>
            <w:r w:rsidRPr="00C11B63">
              <w:rPr>
                <w:rFonts w:ascii="Arial" w:eastAsia="Times New Roman" w:hAnsi="Arial" w:cs="Arial"/>
                <w:sz w:val="20"/>
                <w:szCs w:val="20"/>
                <w:lang w:eastAsia="sr-Latn-RS"/>
              </w:rPr>
              <w:t>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sva tečna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175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br/>
              <w:t>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gasno ulje ekstra lako EVRO EL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250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Vrednosti za dimni broj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256"/>
        <w:gridCol w:w="287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Toplotna snaga (</w:t>
            </w:r>
            <w:proofErr w:type="spellStart"/>
            <w:r w:rsidRPr="00C11B63">
              <w:rPr>
                <w:rFonts w:ascii="Arial" w:eastAsia="Times New Roman" w:hAnsi="Arial" w:cs="Arial"/>
                <w:lang w:eastAsia="sr-Latn-RS"/>
              </w:rPr>
              <w:t>kWth</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Dimni broj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&lt; 11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najviše 2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 11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 </w:t>
            </w: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Na mala postrojenja za sagorevanje sa kombinovanim </w:t>
      </w:r>
      <w:proofErr w:type="spellStart"/>
      <w:r w:rsidRPr="00C11B63">
        <w:rPr>
          <w:rFonts w:ascii="Arial" w:eastAsia="Times New Roman" w:hAnsi="Arial" w:cs="Arial"/>
          <w:lang w:eastAsia="sr-Latn-RS"/>
        </w:rPr>
        <w:t>gorionicima</w:t>
      </w:r>
      <w:proofErr w:type="spellEnd"/>
      <w:r w:rsidRPr="00C11B63">
        <w:rPr>
          <w:rFonts w:ascii="Arial" w:eastAsia="Times New Roman" w:hAnsi="Arial" w:cs="Arial"/>
          <w:lang w:eastAsia="sr-Latn-RS"/>
        </w:rPr>
        <w:t xml:space="preserve"> na gasovito gorivo koje kao rezervno gorivo koriste tečno gorivo manje od 300 radnih časova godišnje, ne primenjuju se odredbe ove uredbe.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bookmarkStart w:id="85" w:name="str_46"/>
      <w:bookmarkEnd w:id="85"/>
      <w:r w:rsidRPr="00C11B63">
        <w:rPr>
          <w:rFonts w:ascii="Arial" w:eastAsia="Times New Roman" w:hAnsi="Arial" w:cs="Arial"/>
          <w:b/>
          <w:bCs/>
          <w:sz w:val="24"/>
          <w:szCs w:val="24"/>
          <w:lang w:eastAsia="sr-Latn-RS"/>
        </w:rPr>
        <w:t xml:space="preserve">Deo III </w:t>
      </w:r>
    </w:p>
    <w:p w:rsidR="00C11B63" w:rsidRPr="00C11B63" w:rsidRDefault="00C11B63" w:rsidP="00C11B63">
      <w:pPr>
        <w:spacing w:before="240" w:after="240" w:line="240" w:lineRule="auto"/>
        <w:jc w:val="center"/>
        <w:rPr>
          <w:rFonts w:ascii="Arial" w:eastAsia="Times New Roman" w:hAnsi="Arial" w:cs="Arial"/>
          <w:b/>
          <w:bCs/>
          <w:sz w:val="24"/>
          <w:szCs w:val="24"/>
          <w:lang w:eastAsia="sr-Latn-RS"/>
        </w:rPr>
      </w:pPr>
      <w:r w:rsidRPr="00C11B63">
        <w:rPr>
          <w:rFonts w:ascii="Arial" w:eastAsia="Times New Roman" w:hAnsi="Arial" w:cs="Arial"/>
          <w:b/>
          <w:bCs/>
          <w:sz w:val="24"/>
          <w:szCs w:val="24"/>
          <w:lang w:eastAsia="sr-Latn-RS"/>
        </w:rPr>
        <w:t xml:space="preserve">GRANIČNE VREDNOSTI EMISIJA ZA GASOVITA GORIVA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Granične vrednosti emisija pri korišćenju gasovitih goriva za nova mala postrojenja za sagorevanje, date su u sledećoj tabeli: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Tabela 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466"/>
        <w:gridCol w:w="3666"/>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Zagađujuća</w:t>
            </w:r>
            <w:proofErr w:type="spellEnd"/>
            <w:r w:rsidRPr="00C11B63">
              <w:rPr>
                <w:rFonts w:ascii="Arial" w:eastAsia="Times New Roman" w:hAnsi="Arial" w:cs="Arial"/>
                <w:lang w:eastAsia="sr-Latn-RS"/>
              </w:rPr>
              <w:t xml:space="preserve"> materija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GVE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ugljen monoksid - CO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100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oksidi azota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izraženi kao NO</w:t>
            </w:r>
            <w:r w:rsidRPr="00C11B63">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150 </w:t>
            </w:r>
          </w:p>
        </w:tc>
      </w:tr>
    </w:tbl>
    <w:p w:rsidR="00C11B63" w:rsidRPr="00C11B63" w:rsidRDefault="00C11B63" w:rsidP="00C11B63">
      <w:pPr>
        <w:spacing w:after="0" w:line="240" w:lineRule="auto"/>
        <w:jc w:val="center"/>
        <w:rPr>
          <w:rFonts w:ascii="Arial" w:eastAsia="Times New Roman" w:hAnsi="Arial" w:cs="Arial"/>
          <w:b/>
          <w:bCs/>
          <w:sz w:val="31"/>
          <w:szCs w:val="31"/>
          <w:lang w:eastAsia="sr-Latn-RS"/>
        </w:rPr>
      </w:pPr>
      <w:bookmarkStart w:id="86" w:name="str_47"/>
      <w:bookmarkEnd w:id="86"/>
      <w:r w:rsidRPr="00C11B63">
        <w:rPr>
          <w:rFonts w:ascii="Arial" w:eastAsia="Times New Roman" w:hAnsi="Arial" w:cs="Arial"/>
          <w:b/>
          <w:bCs/>
          <w:sz w:val="31"/>
          <w:szCs w:val="31"/>
          <w:lang w:eastAsia="sr-Latn-RS"/>
        </w:rPr>
        <w:t xml:space="preserve">Prilog 4.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r w:rsidRPr="00C11B63">
        <w:rPr>
          <w:rFonts w:ascii="Arial" w:eastAsia="Times New Roman" w:hAnsi="Arial" w:cs="Arial"/>
          <w:b/>
          <w:bCs/>
          <w:sz w:val="31"/>
          <w:szCs w:val="31"/>
          <w:lang w:eastAsia="sr-Latn-RS"/>
        </w:rPr>
        <w:t xml:space="preserve">UTVRĐIVANJE UKUPNIH GODIŠNJIH EMISIJA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87" w:name="str_48"/>
      <w:bookmarkEnd w:id="87"/>
      <w:r w:rsidRPr="00C11B63">
        <w:rPr>
          <w:rFonts w:ascii="Arial" w:eastAsia="Times New Roman" w:hAnsi="Arial" w:cs="Arial"/>
          <w:sz w:val="28"/>
          <w:szCs w:val="28"/>
          <w:lang w:eastAsia="sr-Latn-RS"/>
        </w:rPr>
        <w:t xml:space="preserve">A) UTVRĐIVANJE UKUPNIH GODIŠNJIH EMISIJA IZ POSTOJEĆIH VELIKIH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 skladu sa članom 8. stav 5. ove uredbe, Agencija za zaštitu životne sredine (u daljem tekstu: Agencija) dužna je da uspostavi, počev od 2018. godine i za svaku narednu godinu, registar emisija sumpor dioksida, oksida azota i praškastih materija iz svih postojećih velikih postrojenja za sagorevanje sa toplotnom snagom jednakom 50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ili većom.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Za svako postrojenje koje radi pod kontrolom jednog operatera na datoj lokaciji, registar mora da sadrži između ostalog i sledeće podatke: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1) ukupne godišnje emisije sumpor dioksida, oksida azota i praškastih materija (kao ukupne suspendovane čestice);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2) ukupnu godišnju količinu ulazne energije, koja se odnosi na neto </w:t>
      </w:r>
      <w:proofErr w:type="spellStart"/>
      <w:r w:rsidRPr="00C11B63">
        <w:rPr>
          <w:rFonts w:ascii="Arial" w:eastAsia="Times New Roman" w:hAnsi="Arial" w:cs="Arial"/>
          <w:lang w:eastAsia="sr-Latn-RS"/>
        </w:rPr>
        <w:t>kalorijsku</w:t>
      </w:r>
      <w:proofErr w:type="spellEnd"/>
      <w:r w:rsidRPr="00C11B63">
        <w:rPr>
          <w:rFonts w:ascii="Arial" w:eastAsia="Times New Roman" w:hAnsi="Arial" w:cs="Arial"/>
          <w:lang w:eastAsia="sr-Latn-RS"/>
        </w:rPr>
        <w:t xml:space="preserve"> vrednost, posebno iskazanu u pet kategorija goriva: biomasa, druga čvrsta goriva, tečna goriva, prirodni gas, drugi gasovi. </w:t>
      </w:r>
    </w:p>
    <w:p w:rsidR="00C11B63" w:rsidRPr="00C11B63" w:rsidRDefault="00C11B63" w:rsidP="00C11B63">
      <w:pPr>
        <w:spacing w:after="0" w:line="240" w:lineRule="auto"/>
        <w:jc w:val="center"/>
        <w:rPr>
          <w:rFonts w:ascii="Arial" w:eastAsia="Times New Roman" w:hAnsi="Arial" w:cs="Arial"/>
          <w:sz w:val="28"/>
          <w:szCs w:val="28"/>
          <w:lang w:eastAsia="sr-Latn-RS"/>
        </w:rPr>
      </w:pPr>
      <w:bookmarkStart w:id="88" w:name="str_49"/>
      <w:bookmarkEnd w:id="88"/>
      <w:r w:rsidRPr="00C11B63">
        <w:rPr>
          <w:rFonts w:ascii="Arial" w:eastAsia="Times New Roman" w:hAnsi="Arial" w:cs="Arial"/>
          <w:sz w:val="28"/>
          <w:szCs w:val="28"/>
          <w:lang w:eastAsia="sr-Latn-RS"/>
        </w:rPr>
        <w:t xml:space="preserve">B) UTVRĐIVANJE UKUPNIH GODIŠNJIH EMISIJA IZ STARIH VELIKIH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Agencija je dužna da uspostavi, počev od 1. januara 2017. godine i za svaku narednu godinu, sveobuhvatni registar emisija sumpor dioksida, oksida azota i praškastih materija iz starih velikih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 posebno za svako postrojenja za sagorevanje toplotne snage veće od 300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i za rafinerije;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 ukupno za sva velika postrojenja za sagorevanje na koja se ova uredba odnosi.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Agencija je u obavezi svake godine da izradi izveštaj o korišćenom gorivu po postrojenju i podacima o emisiji zagađujućih materija za sva postrojenja obuhvaćena Nacionalnim planom za smanjenje emisija.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bookmarkStart w:id="89" w:name="str_50"/>
      <w:bookmarkEnd w:id="89"/>
      <w:r w:rsidRPr="00C11B63">
        <w:rPr>
          <w:rFonts w:ascii="Arial" w:eastAsia="Times New Roman" w:hAnsi="Arial" w:cs="Arial"/>
          <w:b/>
          <w:bCs/>
          <w:sz w:val="31"/>
          <w:szCs w:val="31"/>
          <w:lang w:eastAsia="sr-Latn-RS"/>
        </w:rPr>
        <w:lastRenderedPageBreak/>
        <w:t xml:space="preserve">Prilog 5.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r w:rsidRPr="00C11B63">
        <w:rPr>
          <w:rFonts w:ascii="Arial" w:eastAsia="Times New Roman" w:hAnsi="Arial" w:cs="Arial"/>
          <w:b/>
          <w:bCs/>
          <w:sz w:val="31"/>
          <w:szCs w:val="31"/>
          <w:lang w:eastAsia="sr-Latn-RS"/>
        </w:rPr>
        <w:t xml:space="preserve">IZVEŠTAJ O GODIŠNJEM BILANSU EMISIJA </w:t>
      </w:r>
    </w:p>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OPŠTI PODACI O IZVORU ZAGAĐIVANJA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805"/>
        <w:gridCol w:w="239"/>
        <w:gridCol w:w="239"/>
        <w:gridCol w:w="239"/>
        <w:gridCol w:w="239"/>
        <w:gridCol w:w="3351"/>
      </w:tblGrid>
      <w:tr w:rsidR="00C11B63" w:rsidRPr="00C11B63" w:rsidTr="00C11B63">
        <w:trPr>
          <w:tblCellSpacing w:w="0" w:type="dxa"/>
        </w:trPr>
        <w:tc>
          <w:tcPr>
            <w:tcW w:w="0" w:type="auto"/>
            <w:hideMark/>
          </w:tcPr>
          <w:p w:rsidR="00C11B63" w:rsidRPr="00C11B63" w:rsidRDefault="00C11B63" w:rsidP="00C11B63">
            <w:pPr>
              <w:spacing w:before="100" w:beforeAutospacing="1" w:after="100" w:afterAutospacing="1" w:line="240" w:lineRule="auto"/>
              <w:jc w:val="right"/>
              <w:rPr>
                <w:rFonts w:ascii="Arial" w:eastAsia="Times New Roman" w:hAnsi="Arial" w:cs="Arial"/>
                <w:b/>
                <w:bCs/>
                <w:lang w:eastAsia="sr-Latn-RS"/>
              </w:rPr>
            </w:pPr>
            <w:r w:rsidRPr="00C11B63">
              <w:rPr>
                <w:rFonts w:ascii="Arial" w:eastAsia="Times New Roman" w:hAnsi="Arial" w:cs="Arial"/>
                <w:b/>
                <w:bCs/>
                <w:lang w:eastAsia="sr-Latn-RS"/>
              </w:rPr>
              <w:t xml:space="preserve">Izveštaj za </w:t>
            </w:r>
          </w:p>
        </w:tc>
        <w:tc>
          <w:tcPr>
            <w:tcW w:w="0" w:type="auto"/>
            <w:tcBorders>
              <w:top w:val="single" w:sz="2" w:space="0" w:color="000000"/>
              <w:left w:val="single" w:sz="6" w:space="0" w:color="000000"/>
              <w:bottom w:val="single" w:sz="6" w:space="0" w:color="000000"/>
              <w:right w:val="single" w:sz="2" w:space="0" w:color="000000"/>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6" w:space="0" w:color="000000"/>
              <w:bottom w:val="single" w:sz="6" w:space="0" w:color="000000"/>
              <w:right w:val="single" w:sz="2" w:space="0" w:color="000000"/>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6" w:space="0" w:color="000000"/>
              <w:bottom w:val="single" w:sz="6" w:space="0" w:color="000000"/>
              <w:right w:val="single" w:sz="2" w:space="0" w:color="000000"/>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6" w:space="0" w:color="000000"/>
              <w:bottom w:val="single" w:sz="6" w:space="0" w:color="000000"/>
              <w:right w:val="single" w:sz="2" w:space="0" w:color="000000"/>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6" w:space="0" w:color="000000"/>
              <w:bottom w:val="single" w:sz="2" w:space="0" w:color="000000"/>
              <w:right w:val="single" w:sz="2" w:space="0" w:color="000000"/>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lang w:eastAsia="sr-Latn-RS"/>
              </w:rPr>
              <w:t>godinu</w:t>
            </w: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22"/>
        <w:gridCol w:w="1735"/>
        <w:gridCol w:w="6575"/>
      </w:tblGrid>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lang w:eastAsia="sr-Latn-RS"/>
              </w:rPr>
              <w:t xml:space="preserve">PODACI O PREDUZEĆU </w:t>
            </w: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Poreski identifikacioni broj (PIB) </w:t>
            </w:r>
          </w:p>
        </w:tc>
        <w:tc>
          <w:tcPr>
            <w:tcW w:w="360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Matični broj preduzeća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Pun naziv preduzeća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4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Adresa </w:t>
            </w:r>
          </w:p>
        </w:tc>
        <w:tc>
          <w:tcPr>
            <w:tcW w:w="95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Mesto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Šifra mesta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Poštanski broj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Ulica i broj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Telefaks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 mail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Opština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Šifra opštine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Šifra pretežne delatnosti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557"/>
        <w:gridCol w:w="6575"/>
      </w:tblGrid>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PODACI O ODGOVORNOM LICU </w:t>
            </w:r>
          </w:p>
        </w:tc>
      </w:tr>
      <w:tr w:rsidR="00C11B63" w:rsidRPr="00C11B63" w:rsidTr="00C11B63">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Ime i prezime </w:t>
            </w:r>
          </w:p>
        </w:tc>
        <w:tc>
          <w:tcPr>
            <w:tcW w:w="360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Funkcija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557"/>
        <w:gridCol w:w="6575"/>
      </w:tblGrid>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PODACI O LICU ODGOVORNOM ZA SARADNJU SA AGENCIJOM </w:t>
            </w:r>
          </w:p>
        </w:tc>
      </w:tr>
      <w:tr w:rsidR="00C11B63" w:rsidRPr="00C11B63" w:rsidTr="00C11B63">
        <w:trPr>
          <w:tblCellSpacing w:w="0" w:type="dxa"/>
        </w:trPr>
        <w:tc>
          <w:tcPr>
            <w:tcW w:w="140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Ime i prezime </w:t>
            </w:r>
          </w:p>
        </w:tc>
        <w:tc>
          <w:tcPr>
            <w:tcW w:w="360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Funkcija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 mail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
        <w:gridCol w:w="1005"/>
        <w:gridCol w:w="639"/>
        <w:gridCol w:w="6575"/>
      </w:tblGrid>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PODACI O POSTROJENJU KOJE JE IZVOR ZAGAĐIVANJA </w:t>
            </w:r>
          </w:p>
        </w:tc>
      </w:tr>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Naziv postrojenja </w:t>
            </w:r>
          </w:p>
        </w:tc>
        <w:tc>
          <w:tcPr>
            <w:tcW w:w="360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50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Adresa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Mesto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Šifra mesta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Poštanski broj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Ulica i broj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Telefaks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 mail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Opština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Šifra opštine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Geografske koordinate </w:t>
            </w:r>
            <w:r w:rsidRPr="00C11B63">
              <w:rPr>
                <w:rFonts w:ascii="Arial" w:eastAsia="Times New Roman" w:hAnsi="Arial" w:cs="Arial"/>
                <w:lang w:eastAsia="sr-Latn-RS"/>
              </w:rPr>
              <w:br/>
              <w:t xml:space="preserve">postrojenja </w:t>
            </w:r>
          </w:p>
        </w:tc>
        <w:tc>
          <w:tcPr>
            <w:tcW w:w="35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PRTR kod </w:t>
            </w:r>
            <w:r w:rsidRPr="00C11B63">
              <w:rPr>
                <w:rFonts w:ascii="Arial" w:eastAsia="Times New Roman" w:hAnsi="Arial" w:cs="Arial"/>
                <w:lang w:eastAsia="sr-Latn-RS"/>
              </w:rPr>
              <w:lastRenderedPageBreak/>
              <w:t xml:space="preserve">postrojenja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796"/>
        <w:gridCol w:w="3257"/>
        <w:gridCol w:w="1369"/>
        <w:gridCol w:w="2710"/>
      </w:tblGrid>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0D0D0D"/>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 materijalnom i krivičnom odgovornošću potvrđujem da su u izveštaju date informacije istinite, a količine i vrednosti tačne i određene ili procenjene u skladu sa važećom zakonskom </w:t>
            </w:r>
            <w:proofErr w:type="spellStart"/>
            <w:r w:rsidRPr="00C11B63">
              <w:rPr>
                <w:rFonts w:ascii="Arial" w:eastAsia="Times New Roman" w:hAnsi="Arial" w:cs="Arial"/>
                <w:b/>
                <w:bCs/>
                <w:lang w:eastAsia="sr-Latn-RS"/>
              </w:rPr>
              <w:t>regulativom</w:t>
            </w:r>
            <w:proofErr w:type="spellEnd"/>
            <w:r w:rsidRPr="00C11B63">
              <w:rPr>
                <w:rFonts w:ascii="Arial" w:eastAsia="Times New Roman" w:hAnsi="Arial" w:cs="Arial"/>
                <w:b/>
                <w:bCs/>
                <w:lang w:eastAsia="sr-Latn-RS"/>
              </w:rPr>
              <w:t xml:space="preserve"> Republike Srbije. </w:t>
            </w:r>
          </w:p>
        </w:tc>
      </w:tr>
      <w:tr w:rsidR="00C11B63" w:rsidRPr="00C11B63" w:rsidTr="00C11B63">
        <w:trPr>
          <w:tblCellSpacing w:w="0" w:type="dxa"/>
        </w:trPr>
        <w:tc>
          <w:tcPr>
            <w:tcW w:w="105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Ime i prezime odgovorne osobe </w:t>
            </w:r>
          </w:p>
        </w:tc>
        <w:tc>
          <w:tcPr>
            <w:tcW w:w="18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550" w:type="pct"/>
            <w:vMerge w:val="restart"/>
            <w:tcBorders>
              <w:top w:val="outset" w:sz="6" w:space="0" w:color="auto"/>
              <w:left w:val="outset" w:sz="6" w:space="0" w:color="auto"/>
              <w:bottom w:val="outset" w:sz="6" w:space="0" w:color="auto"/>
              <w:right w:val="outset" w:sz="6" w:space="0" w:color="auto"/>
            </w:tcBorders>
            <w:shd w:val="clear" w:color="auto" w:fill="D9D9D9"/>
            <w:noWrap/>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Overa i pečat </w:t>
            </w:r>
          </w:p>
        </w:tc>
        <w:tc>
          <w:tcPr>
            <w:tcW w:w="15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Potpis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Datum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EMISIJE U VAZDUH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918"/>
        <w:gridCol w:w="1918"/>
        <w:gridCol w:w="913"/>
        <w:gridCol w:w="1126"/>
        <w:gridCol w:w="883"/>
        <w:gridCol w:w="2374"/>
      </w:tblGrid>
      <w:tr w:rsidR="00C11B63" w:rsidRPr="00C11B63" w:rsidTr="00C11B63">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PODACI O IZVORU </w:t>
            </w:r>
          </w:p>
        </w:tc>
      </w:tr>
      <w:tr w:rsidR="00C11B63" w:rsidRPr="00C11B63" w:rsidTr="00C11B63">
        <w:trPr>
          <w:tblCellSpacing w:w="0" w:type="dxa"/>
        </w:trPr>
        <w:tc>
          <w:tcPr>
            <w:tcW w:w="10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Broj i naziv izvora </w:t>
            </w:r>
          </w:p>
        </w:tc>
        <w:tc>
          <w:tcPr>
            <w:tcW w:w="105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Broj </w:t>
            </w:r>
          </w:p>
        </w:tc>
        <w:tc>
          <w:tcPr>
            <w:tcW w:w="0" w:type="auto"/>
            <w:gridSpan w:val="4"/>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Naziv </w:t>
            </w:r>
          </w:p>
        </w:tc>
        <w:tc>
          <w:tcPr>
            <w:tcW w:w="0" w:type="auto"/>
            <w:gridSpan w:val="4"/>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Vrsta izvora </w:t>
            </w: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Energetski </w:t>
            </w:r>
          </w:p>
        </w:tc>
        <w:tc>
          <w:tcPr>
            <w:tcW w:w="130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Industrijski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Geografska dužina i širina </w:t>
            </w:r>
          </w:p>
        </w:tc>
        <w:tc>
          <w:tcPr>
            <w:tcW w:w="50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 </w:t>
            </w:r>
          </w:p>
        </w:tc>
        <w:tc>
          <w:tcPr>
            <w:tcW w:w="0" w:type="auto"/>
            <w:gridSpan w:val="3"/>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E </w:t>
            </w:r>
          </w:p>
        </w:tc>
        <w:tc>
          <w:tcPr>
            <w:tcW w:w="0" w:type="auto"/>
            <w:gridSpan w:val="3"/>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proofErr w:type="spellStart"/>
            <w:r w:rsidRPr="00C11B63">
              <w:rPr>
                <w:rFonts w:ascii="Arial" w:eastAsia="Times New Roman" w:hAnsi="Arial" w:cs="Arial"/>
                <w:lang w:eastAsia="sr-Latn-RS"/>
              </w:rPr>
              <w:t>Nadmorska</w:t>
            </w:r>
            <w:proofErr w:type="spellEnd"/>
            <w:r w:rsidRPr="00C11B63">
              <w:rPr>
                <w:rFonts w:ascii="Arial" w:eastAsia="Times New Roman" w:hAnsi="Arial" w:cs="Arial"/>
                <w:lang w:eastAsia="sr-Latn-RS"/>
              </w:rPr>
              <w:t xml:space="preserve"> visina (</w:t>
            </w:r>
            <w:proofErr w:type="spellStart"/>
            <w:r w:rsidRPr="00C11B63">
              <w:rPr>
                <w:rFonts w:ascii="Arial" w:eastAsia="Times New Roman" w:hAnsi="Arial" w:cs="Arial"/>
                <w:lang w:eastAsia="sr-Latn-RS"/>
              </w:rPr>
              <w:t>mnv</w:t>
            </w:r>
            <w:proofErr w:type="spellEnd"/>
            <w:r w:rsidRPr="00C11B63">
              <w:rPr>
                <w:rFonts w:ascii="Arial" w:eastAsia="Times New Roman" w:hAnsi="Arial" w:cs="Arial"/>
                <w:lang w:eastAsia="sr-Latn-RS"/>
              </w:rPr>
              <w:t xml:space="preserve">) </w:t>
            </w:r>
          </w:p>
        </w:tc>
        <w:tc>
          <w:tcPr>
            <w:tcW w:w="0" w:type="auto"/>
            <w:gridSpan w:val="4"/>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proofErr w:type="spellStart"/>
            <w:r w:rsidRPr="00C11B63">
              <w:rPr>
                <w:rFonts w:ascii="Arial" w:eastAsia="Times New Roman" w:hAnsi="Arial" w:cs="Arial"/>
                <w:lang w:eastAsia="sr-Latn-RS"/>
              </w:rPr>
              <w:t>Instalisana</w:t>
            </w:r>
            <w:proofErr w:type="spellEnd"/>
            <w:r w:rsidRPr="00C11B63">
              <w:rPr>
                <w:rFonts w:ascii="Arial" w:eastAsia="Times New Roman" w:hAnsi="Arial" w:cs="Arial"/>
                <w:lang w:eastAsia="sr-Latn-RS"/>
              </w:rPr>
              <w:t xml:space="preserve"> toplotna snaga na ulazu (</w:t>
            </w:r>
            <w:proofErr w:type="spellStart"/>
            <w:r w:rsidRPr="00C11B63">
              <w:rPr>
                <w:rFonts w:ascii="Arial" w:eastAsia="Times New Roman" w:hAnsi="Arial" w:cs="Arial"/>
                <w:lang w:eastAsia="sr-Latn-RS"/>
              </w:rPr>
              <w:t>MWth</w:t>
            </w:r>
            <w:proofErr w:type="spellEnd"/>
            <w:r w:rsidRPr="00C11B63">
              <w:rPr>
                <w:rFonts w:ascii="Arial" w:eastAsia="Times New Roman" w:hAnsi="Arial" w:cs="Arial"/>
                <w:lang w:eastAsia="sr-Latn-RS"/>
              </w:rPr>
              <w:t xml:space="preserve">) </w:t>
            </w:r>
            <w:r w:rsidRPr="00C11B63">
              <w:rPr>
                <w:rFonts w:ascii="Arial" w:eastAsia="Times New Roman" w:hAnsi="Arial" w:cs="Arial"/>
                <w:b/>
                <w:bCs/>
                <w:sz w:val="15"/>
                <w:szCs w:val="15"/>
                <w:vertAlign w:val="superscript"/>
                <w:lang w:eastAsia="sr-Latn-RS"/>
              </w:rPr>
              <w:t>1</w:t>
            </w:r>
          </w:p>
        </w:tc>
        <w:tc>
          <w:tcPr>
            <w:tcW w:w="0" w:type="auto"/>
            <w:gridSpan w:val="4"/>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Godišnja </w:t>
            </w:r>
            <w:proofErr w:type="spellStart"/>
            <w:r w:rsidRPr="00C11B63">
              <w:rPr>
                <w:rFonts w:ascii="Arial" w:eastAsia="Times New Roman" w:hAnsi="Arial" w:cs="Arial"/>
                <w:lang w:eastAsia="sr-Latn-RS"/>
              </w:rPr>
              <w:t>iskorišćenost</w:t>
            </w:r>
            <w:proofErr w:type="spellEnd"/>
            <w:r w:rsidRPr="00C11B63">
              <w:rPr>
                <w:rFonts w:ascii="Arial" w:eastAsia="Times New Roman" w:hAnsi="Arial" w:cs="Arial"/>
                <w:lang w:eastAsia="sr-Latn-RS"/>
              </w:rPr>
              <w:t xml:space="preserve"> kapaciteta (%) </w:t>
            </w:r>
          </w:p>
        </w:tc>
        <w:tc>
          <w:tcPr>
            <w:tcW w:w="0" w:type="auto"/>
            <w:gridSpan w:val="4"/>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Visina </w:t>
            </w:r>
            <w:proofErr w:type="spellStart"/>
            <w:r w:rsidRPr="00C11B63">
              <w:rPr>
                <w:rFonts w:ascii="Arial" w:eastAsia="Times New Roman" w:hAnsi="Arial" w:cs="Arial"/>
                <w:lang w:eastAsia="sr-Latn-RS"/>
              </w:rPr>
              <w:t>emitera</w:t>
            </w:r>
            <w:proofErr w:type="spellEnd"/>
            <w:r w:rsidRPr="00C11B63">
              <w:rPr>
                <w:rFonts w:ascii="Arial" w:eastAsia="Times New Roman" w:hAnsi="Arial" w:cs="Arial"/>
                <w:lang w:eastAsia="sr-Latn-RS"/>
              </w:rPr>
              <w:t xml:space="preserve"> (m) </w:t>
            </w: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Unutrašnji prečnik </w:t>
            </w:r>
            <w:proofErr w:type="spellStart"/>
            <w:r w:rsidRPr="00C11B63">
              <w:rPr>
                <w:rFonts w:ascii="Arial" w:eastAsia="Times New Roman" w:hAnsi="Arial" w:cs="Arial"/>
                <w:lang w:eastAsia="sr-Latn-RS"/>
              </w:rPr>
              <w:t>emitera</w:t>
            </w:r>
            <w:proofErr w:type="spellEnd"/>
            <w:r w:rsidRPr="00C11B63">
              <w:rPr>
                <w:rFonts w:ascii="Arial" w:eastAsia="Times New Roman" w:hAnsi="Arial" w:cs="Arial"/>
                <w:lang w:eastAsia="sr-Latn-RS"/>
              </w:rPr>
              <w:t xml:space="preserve"> na vrhu (m) </w:t>
            </w: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Srednja godišnja temperatura izlaznih gasova na mernom mestu (°C) </w:t>
            </w: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Srednja godišnja brzina izlaznih gasova na mernom mestu (m/s) </w:t>
            </w: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Srednji godišnji izlazni protok na mernom mestu (normalni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/h)</w:t>
            </w:r>
            <w:r w:rsidRPr="00C11B63">
              <w:rPr>
                <w:rFonts w:ascii="Arial" w:eastAsia="Times New Roman" w:hAnsi="Arial" w:cs="Arial"/>
                <w:b/>
                <w:bCs/>
                <w:sz w:val="15"/>
                <w:szCs w:val="15"/>
                <w:vertAlign w:val="superscript"/>
                <w:lang w:eastAsia="sr-Latn-RS"/>
              </w:rPr>
              <w:t>2</w:t>
            </w: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Režim rada izvora </w:t>
            </w: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proofErr w:type="spellStart"/>
            <w:r w:rsidRPr="00C11B63">
              <w:rPr>
                <w:rFonts w:ascii="Arial" w:eastAsia="Times New Roman" w:hAnsi="Arial" w:cs="Arial"/>
                <w:lang w:eastAsia="sr-Latn-RS"/>
              </w:rPr>
              <w:t>Kontinualan</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proofErr w:type="spellStart"/>
            <w:r w:rsidRPr="00C11B63">
              <w:rPr>
                <w:rFonts w:ascii="Arial" w:eastAsia="Times New Roman" w:hAnsi="Arial" w:cs="Arial"/>
                <w:lang w:eastAsia="sr-Latn-RS"/>
              </w:rPr>
              <w:t>Diskontinualan</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573"/>
        <w:gridCol w:w="2395"/>
        <w:gridCol w:w="2164"/>
      </w:tblGrid>
      <w:tr w:rsidR="00C11B63" w:rsidRPr="00C11B63" w:rsidTr="00C11B63">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PODACI O RADU </w:t>
            </w: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Broj radnih dana izvora godišnje </w:t>
            </w:r>
          </w:p>
        </w:tc>
        <w:tc>
          <w:tcPr>
            <w:tcW w:w="190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Broj radnih sati izvora na dan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Ukupni broj radnih sati godišnje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1450" w:type="pct"/>
            <w:vMerge w:val="restart"/>
            <w:tcBorders>
              <w:top w:val="outset" w:sz="6" w:space="0" w:color="auto"/>
              <w:left w:val="outset" w:sz="6" w:space="0" w:color="auto"/>
              <w:bottom w:val="outset" w:sz="6" w:space="0" w:color="auto"/>
              <w:right w:val="outset" w:sz="6" w:space="0" w:color="auto"/>
            </w:tcBorders>
            <w:shd w:val="clear" w:color="auto" w:fill="D9D9D9"/>
            <w:noWrap/>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Raspodela godišnjih emisija po sezonama (%) </w:t>
            </w:r>
          </w:p>
        </w:tc>
        <w:tc>
          <w:tcPr>
            <w:tcW w:w="165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Zima (Dec, Jan, Feb)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noWrap/>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Proleće (Mart, Apr, Maj)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Leto (Jun, Jul, Avg)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Jesen (Sep, Okt, Nov)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335"/>
        <w:gridCol w:w="2729"/>
        <w:gridCol w:w="994"/>
        <w:gridCol w:w="994"/>
        <w:gridCol w:w="994"/>
        <w:gridCol w:w="1086"/>
      </w:tblGrid>
      <w:tr w:rsidR="00C11B63" w:rsidRPr="00C11B63" w:rsidTr="00C11B63">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PODACI O KORIŠĆENOM GORIVU </w:t>
            </w: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Gorivo </w:t>
            </w:r>
          </w:p>
        </w:tc>
        <w:tc>
          <w:tcPr>
            <w:tcW w:w="6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Gorivo 1 </w:t>
            </w:r>
          </w:p>
        </w:tc>
        <w:tc>
          <w:tcPr>
            <w:tcW w:w="6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Gorivo 2 </w:t>
            </w:r>
          </w:p>
        </w:tc>
        <w:tc>
          <w:tcPr>
            <w:tcW w:w="6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Gorivo 3 </w:t>
            </w:r>
          </w:p>
        </w:tc>
        <w:tc>
          <w:tcPr>
            <w:tcW w:w="70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Gorivo 4 </w:t>
            </w: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Naziv goriva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Ukupna godišnja potrošnja (t)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Donja toplotna moć goriva (</w:t>
            </w:r>
            <w:proofErr w:type="spellStart"/>
            <w:r w:rsidRPr="00C11B63">
              <w:rPr>
                <w:rFonts w:ascii="Arial" w:eastAsia="Times New Roman" w:hAnsi="Arial" w:cs="Arial"/>
                <w:lang w:eastAsia="sr-Latn-RS"/>
              </w:rPr>
              <w:t>kJ</w:t>
            </w:r>
            <w:proofErr w:type="spellEnd"/>
            <w:r w:rsidRPr="00C11B63">
              <w:rPr>
                <w:rFonts w:ascii="Arial" w:eastAsia="Times New Roman" w:hAnsi="Arial" w:cs="Arial"/>
                <w:lang w:eastAsia="sr-Latn-RS"/>
              </w:rPr>
              <w:t xml:space="preserve">/kg)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750" w:type="pct"/>
            <w:vMerge w:val="restart"/>
            <w:tcBorders>
              <w:top w:val="outset" w:sz="6" w:space="0" w:color="auto"/>
              <w:left w:val="outset" w:sz="6" w:space="0" w:color="auto"/>
              <w:bottom w:val="outset" w:sz="6" w:space="0" w:color="auto"/>
              <w:right w:val="outset" w:sz="6" w:space="0" w:color="auto"/>
            </w:tcBorders>
            <w:shd w:val="clear" w:color="auto" w:fill="D9D9D9"/>
            <w:noWrap/>
            <w:vAlign w:val="center"/>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Sastav goriva (</w:t>
            </w:r>
            <w:proofErr w:type="spellStart"/>
            <w:r w:rsidRPr="00C11B63">
              <w:rPr>
                <w:rFonts w:ascii="Arial" w:eastAsia="Times New Roman" w:hAnsi="Arial" w:cs="Arial"/>
                <w:lang w:eastAsia="sr-Latn-RS"/>
              </w:rPr>
              <w:t>mas</w:t>
            </w:r>
            <w:proofErr w:type="spellEnd"/>
            <w:r w:rsidRPr="00C11B63">
              <w:rPr>
                <w:rFonts w:ascii="Arial" w:eastAsia="Times New Roman" w:hAnsi="Arial" w:cs="Arial"/>
                <w:lang w:eastAsia="sr-Latn-RS"/>
              </w:rPr>
              <w:t xml:space="preserve">. %) </w:t>
            </w:r>
          </w:p>
        </w:tc>
        <w:tc>
          <w:tcPr>
            <w:tcW w:w="160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S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Cl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b/>
          <w:bCs/>
          <w:lang w:eastAsia="sr-Latn-RS"/>
        </w:rPr>
        <w:t xml:space="preserve"> Samo za energetske izvore</w:t>
      </w:r>
      <w:r w:rsidRPr="00C11B63">
        <w:rPr>
          <w:rFonts w:ascii="Arial" w:eastAsia="Times New Roman" w:hAnsi="Arial" w:cs="Arial"/>
          <w:b/>
          <w:bCs/>
          <w:lang w:eastAsia="sr-Latn-RS"/>
        </w:rPr>
        <w:br/>
      </w:r>
      <w:r w:rsidRPr="00C11B63">
        <w:rPr>
          <w:rFonts w:ascii="Arial" w:eastAsia="Times New Roman" w:hAnsi="Arial" w:cs="Arial"/>
          <w:b/>
          <w:bCs/>
          <w:sz w:val="15"/>
          <w:szCs w:val="15"/>
          <w:vertAlign w:val="superscript"/>
          <w:lang w:eastAsia="sr-Latn-RS"/>
        </w:rPr>
        <w:t>2</w:t>
      </w:r>
      <w:r w:rsidRPr="00C11B63">
        <w:rPr>
          <w:rFonts w:ascii="Arial" w:eastAsia="Times New Roman" w:hAnsi="Arial" w:cs="Arial"/>
          <w:b/>
          <w:bCs/>
          <w:lang w:eastAsia="sr-Latn-RS"/>
        </w:rPr>
        <w:t xml:space="preserve"> Zapreminski protok </w:t>
      </w:r>
      <w:proofErr w:type="spellStart"/>
      <w:r w:rsidRPr="00C11B63">
        <w:rPr>
          <w:rFonts w:ascii="Arial" w:eastAsia="Times New Roman" w:hAnsi="Arial" w:cs="Arial"/>
          <w:b/>
          <w:bCs/>
          <w:lang w:eastAsia="sr-Latn-RS"/>
        </w:rPr>
        <w:t>preračunat</w:t>
      </w:r>
      <w:proofErr w:type="spellEnd"/>
      <w:r w:rsidRPr="00C11B63">
        <w:rPr>
          <w:rFonts w:ascii="Arial" w:eastAsia="Times New Roman" w:hAnsi="Arial" w:cs="Arial"/>
          <w:b/>
          <w:bCs/>
          <w:lang w:eastAsia="sr-Latn-RS"/>
        </w:rPr>
        <w:t xml:space="preserve"> na normalne uslove, suvi otpadni gas i odgovarajući % udeo referentnog kiseonika (zavisno od vrste goriva). </w:t>
      </w:r>
    </w:p>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NAPOMENA: Za svaki izvor emisija zagađujućih materija u vazduh, popunjava se poseban obrazac. </w:t>
      </w:r>
    </w:p>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GODIŠNJI BILANS EMISIJA ZAGAĐUJUĆIH MATERIJA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40"/>
        <w:gridCol w:w="1357"/>
        <w:gridCol w:w="793"/>
        <w:gridCol w:w="1060"/>
        <w:gridCol w:w="418"/>
        <w:gridCol w:w="887"/>
        <w:gridCol w:w="1356"/>
        <w:gridCol w:w="793"/>
        <w:gridCol w:w="1228"/>
      </w:tblGrid>
      <w:tr w:rsidR="00C11B63" w:rsidRPr="00C11B63" w:rsidTr="00C11B63">
        <w:trPr>
          <w:tblCellSpacing w:w="0" w:type="dxa"/>
        </w:trPr>
        <w:tc>
          <w:tcPr>
            <w:tcW w:w="0" w:type="auto"/>
            <w:gridSpan w:val="9"/>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PODACI O BILANSU I NAČINU ODREĐIVANJA EMISIJA ZAGAĐUJUĆIH MATERIJA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Naziv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w:t>
            </w:r>
          </w:p>
        </w:tc>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proofErr w:type="spellStart"/>
            <w:r w:rsidRPr="00C11B63">
              <w:rPr>
                <w:rFonts w:ascii="Arial" w:eastAsia="Times New Roman" w:hAnsi="Arial" w:cs="Arial"/>
                <w:lang w:eastAsia="sr-Latn-RS"/>
              </w:rPr>
              <w:t>Masena</w:t>
            </w:r>
            <w:proofErr w:type="spellEnd"/>
            <w:r w:rsidRPr="00C11B63">
              <w:rPr>
                <w:rFonts w:ascii="Arial" w:eastAsia="Times New Roman" w:hAnsi="Arial" w:cs="Arial"/>
                <w:lang w:eastAsia="sr-Latn-RS"/>
              </w:rPr>
              <w:t xml:space="preserve"> koncentracija zagađujućih materija u otpadnom gasu </w:t>
            </w: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Emitovane količine u toku normalnog rada postrojenja </w:t>
            </w: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Emitovane količine u </w:t>
            </w:r>
            <w:proofErr w:type="spellStart"/>
            <w:r w:rsidRPr="00C11B63">
              <w:rPr>
                <w:rFonts w:ascii="Arial" w:eastAsia="Times New Roman" w:hAnsi="Arial" w:cs="Arial"/>
                <w:lang w:eastAsia="sr-Latn-RS"/>
              </w:rPr>
              <w:t>akcidentnim</w:t>
            </w:r>
            <w:proofErr w:type="spellEnd"/>
            <w:r w:rsidRPr="00C11B63">
              <w:rPr>
                <w:rFonts w:ascii="Arial" w:eastAsia="Times New Roman" w:hAnsi="Arial" w:cs="Arial"/>
                <w:lang w:eastAsia="sr-Latn-RS"/>
              </w:rPr>
              <w:t xml:space="preserve"> situacijama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Način određi-vanja</w:t>
            </w:r>
            <w:r w:rsidRPr="00C11B63">
              <w:rPr>
                <w:rFonts w:ascii="Arial" w:eastAsia="Times New Roman" w:hAnsi="Arial" w:cs="Arial"/>
                <w:b/>
                <w:bCs/>
                <w:sz w:val="15"/>
                <w:szCs w:val="15"/>
                <w:vertAlign w:val="superscript"/>
                <w:lang w:eastAsia="sr-Latn-RS"/>
              </w:rPr>
              <w:t>3</w:t>
            </w:r>
            <w:r w:rsidRPr="00C11B63">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Metoda određivanja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Srednja godišnja izmerena vrednost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Način određi-vanja</w:t>
            </w:r>
            <w:r w:rsidRPr="00C11B63">
              <w:rPr>
                <w:rFonts w:ascii="Arial" w:eastAsia="Times New Roman" w:hAnsi="Arial" w:cs="Arial"/>
                <w:b/>
                <w:bCs/>
                <w:sz w:val="15"/>
                <w:szCs w:val="15"/>
                <w:vertAlign w:val="superscript"/>
                <w:lang w:eastAsia="sr-Latn-RS"/>
              </w:rPr>
              <w:t>3</w:t>
            </w:r>
            <w:r w:rsidRPr="00C11B63">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Granična vrednost emisije iz Priloga 1. </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mg/normalni m</w:t>
            </w:r>
            <w:r w:rsidRPr="00C11B63">
              <w:rPr>
                <w:rFonts w:ascii="Arial" w:eastAsia="Times New Roman" w:hAnsi="Arial" w:cs="Arial"/>
                <w:sz w:val="15"/>
                <w:szCs w:val="15"/>
                <w:vertAlign w:val="superscript"/>
                <w:lang w:eastAsia="sr-Latn-RS"/>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g/h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kg/god</w:t>
            </w:r>
            <w:r w:rsidRPr="00C11B63">
              <w:rPr>
                <w:rFonts w:ascii="Arial" w:eastAsia="Times New Roman" w:hAnsi="Arial" w:cs="Arial"/>
                <w:b/>
                <w:bCs/>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kg/god</w:t>
            </w:r>
            <w:r w:rsidRPr="00C11B63">
              <w:rPr>
                <w:rFonts w:ascii="Arial" w:eastAsia="Times New Roman" w:hAnsi="Arial" w:cs="Arial"/>
                <w:b/>
                <w:bCs/>
                <w:sz w:val="15"/>
                <w:szCs w:val="15"/>
                <w:vertAlign w:val="superscript"/>
                <w:lang w:eastAsia="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b/>
          <w:bCs/>
          <w:sz w:val="15"/>
          <w:szCs w:val="15"/>
          <w:vertAlign w:val="superscript"/>
          <w:lang w:eastAsia="sr-Latn-RS"/>
        </w:rPr>
        <w:t>1</w:t>
      </w:r>
      <w:r w:rsidRPr="00C11B63">
        <w:rPr>
          <w:rFonts w:ascii="Arial" w:eastAsia="Times New Roman" w:hAnsi="Arial" w:cs="Arial"/>
          <w:i/>
          <w:iCs/>
          <w:lang w:eastAsia="sr-Latn-RS"/>
        </w:rPr>
        <w:t xml:space="preserve"> Emitovane količine zagađujućih materija dobijaju se množenjem srednje godišnje izmerene vrednosti </w:t>
      </w:r>
      <w:proofErr w:type="spellStart"/>
      <w:r w:rsidRPr="00C11B63">
        <w:rPr>
          <w:rFonts w:ascii="Arial" w:eastAsia="Times New Roman" w:hAnsi="Arial" w:cs="Arial"/>
          <w:i/>
          <w:iCs/>
          <w:lang w:eastAsia="sr-Latn-RS"/>
        </w:rPr>
        <w:t>masene</w:t>
      </w:r>
      <w:proofErr w:type="spellEnd"/>
      <w:r w:rsidRPr="00C11B63">
        <w:rPr>
          <w:rFonts w:ascii="Arial" w:eastAsia="Times New Roman" w:hAnsi="Arial" w:cs="Arial"/>
          <w:i/>
          <w:iCs/>
          <w:lang w:eastAsia="sr-Latn-RS"/>
        </w:rPr>
        <w:t xml:space="preserve"> koncentracije </w:t>
      </w:r>
      <w:proofErr w:type="spellStart"/>
      <w:r w:rsidRPr="00C11B63">
        <w:rPr>
          <w:rFonts w:ascii="Arial" w:eastAsia="Times New Roman" w:hAnsi="Arial" w:cs="Arial"/>
          <w:i/>
          <w:iCs/>
          <w:lang w:eastAsia="sr-Latn-RS"/>
        </w:rPr>
        <w:t>zagađujuće</w:t>
      </w:r>
      <w:proofErr w:type="spellEnd"/>
      <w:r w:rsidRPr="00C11B63">
        <w:rPr>
          <w:rFonts w:ascii="Arial" w:eastAsia="Times New Roman" w:hAnsi="Arial" w:cs="Arial"/>
          <w:i/>
          <w:iCs/>
          <w:lang w:eastAsia="sr-Latn-RS"/>
        </w:rPr>
        <w:t xml:space="preserve"> materije u otpadnom gasu sa srednjim godišnjim izlaznim protokom i ukupnim brojem radnih časova godišnje (mg/god). Dobijenu vrednost pomnožiti sa 10</w:t>
      </w:r>
      <w:r w:rsidRPr="00C11B63">
        <w:rPr>
          <w:rFonts w:ascii="Arial" w:eastAsia="Times New Roman" w:hAnsi="Arial" w:cs="Arial"/>
          <w:b/>
          <w:bCs/>
          <w:i/>
          <w:iCs/>
          <w:sz w:val="15"/>
          <w:szCs w:val="15"/>
          <w:vertAlign w:val="superscript"/>
          <w:lang w:eastAsia="sr-Latn-RS"/>
        </w:rPr>
        <w:t>-6</w:t>
      </w:r>
      <w:r w:rsidRPr="00C11B63">
        <w:rPr>
          <w:rFonts w:ascii="Arial" w:eastAsia="Times New Roman" w:hAnsi="Arial" w:cs="Arial"/>
          <w:i/>
          <w:iCs/>
          <w:lang w:eastAsia="sr-Latn-RS"/>
        </w:rPr>
        <w:t xml:space="preserve"> radi dobijanja vrednosti u jedinici kg/god.</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2</w:t>
      </w:r>
      <w:r w:rsidRPr="00C11B63">
        <w:rPr>
          <w:rFonts w:ascii="Arial" w:eastAsia="Times New Roman" w:hAnsi="Arial" w:cs="Arial"/>
          <w:i/>
          <w:iCs/>
          <w:lang w:eastAsia="sr-Latn-RS"/>
        </w:rPr>
        <w:t xml:space="preserve"> Vrednosti se zaokružuju na jednu decimalu. Decimala se razdvaja tačkom.</w:t>
      </w:r>
      <w:r w:rsidRPr="00C11B63">
        <w:rPr>
          <w:rFonts w:ascii="Arial" w:eastAsia="Times New Roman" w:hAnsi="Arial" w:cs="Arial"/>
          <w:lang w:eastAsia="sr-Latn-RS"/>
        </w:rPr>
        <w:br/>
      </w:r>
      <w:r w:rsidRPr="00C11B63">
        <w:rPr>
          <w:rFonts w:ascii="Arial" w:eastAsia="Times New Roman" w:hAnsi="Arial" w:cs="Arial"/>
          <w:b/>
          <w:bCs/>
          <w:sz w:val="15"/>
          <w:szCs w:val="15"/>
          <w:vertAlign w:val="superscript"/>
          <w:lang w:eastAsia="sr-Latn-RS"/>
        </w:rPr>
        <w:t>3</w:t>
      </w:r>
      <w:r w:rsidRPr="00C11B63">
        <w:rPr>
          <w:rFonts w:ascii="Arial" w:eastAsia="Times New Roman" w:hAnsi="Arial" w:cs="Arial"/>
          <w:lang w:eastAsia="sr-Latn-RS"/>
        </w:rPr>
        <w:t xml:space="preserve"> </w:t>
      </w:r>
      <w:r w:rsidRPr="00C11B63">
        <w:rPr>
          <w:rFonts w:ascii="Arial" w:eastAsia="Times New Roman" w:hAnsi="Arial" w:cs="Arial"/>
          <w:i/>
          <w:iCs/>
          <w:lang w:eastAsia="sr-Latn-RS"/>
        </w:rPr>
        <w:t>Način određivanja (1. - Merenje (</w:t>
      </w:r>
      <w:proofErr w:type="spellStart"/>
      <w:r w:rsidRPr="00C11B63">
        <w:rPr>
          <w:rFonts w:ascii="Arial" w:eastAsia="Times New Roman" w:hAnsi="Arial" w:cs="Arial"/>
          <w:i/>
          <w:iCs/>
          <w:lang w:eastAsia="sr-Latn-RS"/>
        </w:rPr>
        <w:t>kontinualno</w:t>
      </w:r>
      <w:proofErr w:type="spellEnd"/>
      <w:r w:rsidRPr="00C11B63">
        <w:rPr>
          <w:rFonts w:ascii="Arial" w:eastAsia="Times New Roman" w:hAnsi="Arial" w:cs="Arial"/>
          <w:i/>
          <w:iCs/>
          <w:lang w:eastAsia="sr-Latn-RS"/>
        </w:rPr>
        <w:t xml:space="preserve">), 2. - Proračun na osnovu pojedinačnih merenja, 3. - Procena) - Uneti jedan od brojeva od 1 do 3 a u slučaju nevažećih dana </w:t>
      </w:r>
      <w:proofErr w:type="spellStart"/>
      <w:r w:rsidRPr="00C11B63">
        <w:rPr>
          <w:rFonts w:ascii="Arial" w:eastAsia="Times New Roman" w:hAnsi="Arial" w:cs="Arial"/>
          <w:i/>
          <w:iCs/>
          <w:lang w:eastAsia="sr-Latn-RS"/>
        </w:rPr>
        <w:t>kontinualnog</w:t>
      </w:r>
      <w:proofErr w:type="spellEnd"/>
      <w:r w:rsidRPr="00C11B63">
        <w:rPr>
          <w:rFonts w:ascii="Arial" w:eastAsia="Times New Roman" w:hAnsi="Arial" w:cs="Arial"/>
          <w:i/>
          <w:iCs/>
          <w:lang w:eastAsia="sr-Latn-RS"/>
        </w:rPr>
        <w:t xml:space="preserve"> merenja uneti: broj dana važećih </w:t>
      </w:r>
      <w:proofErr w:type="spellStart"/>
      <w:r w:rsidRPr="00C11B63">
        <w:rPr>
          <w:rFonts w:ascii="Arial" w:eastAsia="Times New Roman" w:hAnsi="Arial" w:cs="Arial"/>
          <w:i/>
          <w:iCs/>
          <w:lang w:eastAsia="sr-Latn-RS"/>
        </w:rPr>
        <w:t>kontinualnih</w:t>
      </w:r>
      <w:proofErr w:type="spellEnd"/>
      <w:r w:rsidRPr="00C11B63">
        <w:rPr>
          <w:rFonts w:ascii="Arial" w:eastAsia="Times New Roman" w:hAnsi="Arial" w:cs="Arial"/>
          <w:i/>
          <w:iCs/>
          <w:lang w:eastAsia="sr-Latn-RS"/>
        </w:rPr>
        <w:t xml:space="preserve"> merenja i broj dana nevažećih </w:t>
      </w:r>
      <w:proofErr w:type="spellStart"/>
      <w:r w:rsidRPr="00C11B63">
        <w:rPr>
          <w:rFonts w:ascii="Arial" w:eastAsia="Times New Roman" w:hAnsi="Arial" w:cs="Arial"/>
          <w:i/>
          <w:iCs/>
          <w:lang w:eastAsia="sr-Latn-RS"/>
        </w:rPr>
        <w:t>kontinualnih</w:t>
      </w:r>
      <w:proofErr w:type="spellEnd"/>
      <w:r w:rsidRPr="00C11B63">
        <w:rPr>
          <w:rFonts w:ascii="Arial" w:eastAsia="Times New Roman" w:hAnsi="Arial" w:cs="Arial"/>
          <w:i/>
          <w:iCs/>
          <w:lang w:eastAsia="sr-Latn-RS"/>
        </w:rPr>
        <w:t xml:space="preserve"> merenja, broj časova rada postrojenja pri važećim danima </w:t>
      </w:r>
      <w:proofErr w:type="spellStart"/>
      <w:r w:rsidRPr="00C11B63">
        <w:rPr>
          <w:rFonts w:ascii="Arial" w:eastAsia="Times New Roman" w:hAnsi="Arial" w:cs="Arial"/>
          <w:i/>
          <w:iCs/>
          <w:lang w:eastAsia="sr-Latn-RS"/>
        </w:rPr>
        <w:t>kontinualnog</w:t>
      </w:r>
      <w:proofErr w:type="spellEnd"/>
      <w:r w:rsidRPr="00C11B63">
        <w:rPr>
          <w:rFonts w:ascii="Arial" w:eastAsia="Times New Roman" w:hAnsi="Arial" w:cs="Arial"/>
          <w:i/>
          <w:iCs/>
          <w:lang w:eastAsia="sr-Latn-RS"/>
        </w:rPr>
        <w:t xml:space="preserve"> merenja, broj časova rada postrojenja u nevažećim danima </w:t>
      </w:r>
      <w:proofErr w:type="spellStart"/>
      <w:r w:rsidRPr="00C11B63">
        <w:rPr>
          <w:rFonts w:ascii="Arial" w:eastAsia="Times New Roman" w:hAnsi="Arial" w:cs="Arial"/>
          <w:i/>
          <w:iCs/>
          <w:lang w:eastAsia="sr-Latn-RS"/>
        </w:rPr>
        <w:t>kontinualnog</w:t>
      </w:r>
      <w:proofErr w:type="spellEnd"/>
      <w:r w:rsidRPr="00C11B63">
        <w:rPr>
          <w:rFonts w:ascii="Arial" w:eastAsia="Times New Roman" w:hAnsi="Arial" w:cs="Arial"/>
          <w:i/>
          <w:iCs/>
          <w:lang w:eastAsia="sr-Latn-RS"/>
        </w:rPr>
        <w:t xml:space="preserve"> merenja.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NAPOMENE: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jc w:val="center"/>
        <w:rPr>
          <w:rFonts w:ascii="Arial" w:eastAsia="Times New Roman" w:hAnsi="Arial" w:cs="Arial"/>
          <w:b/>
          <w:bCs/>
          <w:sz w:val="31"/>
          <w:szCs w:val="31"/>
          <w:lang w:eastAsia="sr-Latn-RS"/>
        </w:rPr>
      </w:pPr>
      <w:bookmarkStart w:id="90" w:name="str_51"/>
      <w:bookmarkEnd w:id="90"/>
      <w:r w:rsidRPr="00C11B63">
        <w:rPr>
          <w:rFonts w:ascii="Arial" w:eastAsia="Times New Roman" w:hAnsi="Arial" w:cs="Arial"/>
          <w:b/>
          <w:bCs/>
          <w:sz w:val="31"/>
          <w:szCs w:val="31"/>
          <w:lang w:eastAsia="sr-Latn-RS"/>
        </w:rPr>
        <w:t xml:space="preserve">Prilog 6. </w:t>
      </w:r>
    </w:p>
    <w:p w:rsidR="00C11B63" w:rsidRPr="00C11B63" w:rsidRDefault="00C11B63" w:rsidP="00C11B63">
      <w:pPr>
        <w:spacing w:after="0" w:line="240" w:lineRule="auto"/>
        <w:jc w:val="center"/>
        <w:rPr>
          <w:rFonts w:ascii="Arial" w:eastAsia="Times New Roman" w:hAnsi="Arial" w:cs="Arial"/>
          <w:b/>
          <w:bCs/>
          <w:sz w:val="31"/>
          <w:szCs w:val="31"/>
          <w:lang w:eastAsia="sr-Latn-RS"/>
        </w:rPr>
      </w:pPr>
      <w:r w:rsidRPr="00C11B63">
        <w:rPr>
          <w:rFonts w:ascii="Arial" w:eastAsia="Times New Roman" w:hAnsi="Arial" w:cs="Arial"/>
          <w:b/>
          <w:bCs/>
          <w:sz w:val="31"/>
          <w:szCs w:val="31"/>
          <w:lang w:eastAsia="sr-Latn-RS"/>
        </w:rPr>
        <w:t xml:space="preserve">IZVEŠTAJ O BROJU RADNIH ČASOVA POSTROJENJA ZA SAGOREVANJE U TOKU IZVEŠTAJNE GODINE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Pod brojem ostvarenih radnih časova postrojenja za sagorevanje podrazumeva se vreme, izraženo u časovima, kada postrojenje za sagorevanje radi, osim perioda pokretanja i zaustavljanja postrojenja.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Kada se postrojenje za sagorevanje sastoji od više jedinica, smatra se da celo postrojenje radi ukoliko radi barem jedna jedinica, bez obzira na broj jedinica koje čine postrojenje. Istovremeni jednočasovni rad više kotlova jedinica za sagorevanje istog postrojenja, smatra se jednim radnim časom celog postrojenja za sagorevanje.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Ukoliko se u postrojenju za sagorevanje koristi više goriva, potrebno je navesti broj radnih časova za svako gorivo posebno. </w:t>
      </w:r>
    </w:p>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Ako postrojenje za sagorevanje ima ugrađenu opremu za smanjenje emitovanih količina zagađujućih materija u vazduh (filteri, postrojenje za </w:t>
      </w:r>
      <w:proofErr w:type="spellStart"/>
      <w:r w:rsidRPr="00C11B63">
        <w:rPr>
          <w:rFonts w:ascii="Arial" w:eastAsia="Times New Roman" w:hAnsi="Arial" w:cs="Arial"/>
          <w:lang w:eastAsia="sr-Latn-RS"/>
        </w:rPr>
        <w:t>odsumporavanje</w:t>
      </w:r>
      <w:proofErr w:type="spellEnd"/>
      <w:r w:rsidRPr="00C11B63">
        <w:rPr>
          <w:rFonts w:ascii="Arial" w:eastAsia="Times New Roman" w:hAnsi="Arial" w:cs="Arial"/>
          <w:lang w:eastAsia="sr-Latn-RS"/>
        </w:rPr>
        <w:t xml:space="preserve"> i sl.) potrebno je navesti broj radnih časova rada sa i bez uključene opreme za svaku vrstu goriva posebno. </w:t>
      </w:r>
    </w:p>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IZVEŠTAJ O BROJU RADNIH ČASOVA POSTROJENJA ZA SAGOREVANJE U TOKU IZVEŠTAJNE GODINE</w:t>
      </w:r>
      <w:r w:rsidRPr="00C11B63">
        <w:rPr>
          <w:rFonts w:ascii="Arial" w:eastAsia="Times New Roman" w:hAnsi="Arial" w:cs="Arial"/>
          <w:lang w:eastAsia="sr-Latn-RS"/>
        </w:rPr>
        <w:br/>
        <w:t xml:space="preserve">(za svako postrojenje za sagorevanje popunjava se poseban obrazac) </w:t>
      </w:r>
    </w:p>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Izveštaj za _____ godinu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14"/>
        <w:gridCol w:w="6118"/>
      </w:tblGrid>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Osnovni podaci </w:t>
            </w:r>
          </w:p>
        </w:tc>
      </w:tr>
      <w:tr w:rsidR="00C11B63" w:rsidRPr="00C11B63" w:rsidTr="00C11B63">
        <w:trPr>
          <w:tblCellSpacing w:w="0" w:type="dxa"/>
        </w:trPr>
        <w:tc>
          <w:tcPr>
            <w:tcW w:w="16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PIB </w:t>
            </w:r>
          </w:p>
        </w:tc>
        <w:tc>
          <w:tcPr>
            <w:tcW w:w="33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Naziv preduzeća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Naziv postrojenja za sagorevanje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Opština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02"/>
        <w:gridCol w:w="2053"/>
        <w:gridCol w:w="1650"/>
        <w:gridCol w:w="2427"/>
      </w:tblGrid>
      <w:tr w:rsidR="00C11B63" w:rsidRPr="00C11B63" w:rsidTr="00C11B63">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Podaci o opremi za smanjenje emitovanih količina zagađujućih materija u vazduh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Naziv opreme (uređaja)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Projektovani stepen uklanjanja </w:t>
            </w:r>
            <w:proofErr w:type="spellStart"/>
            <w:r w:rsidRPr="00C11B63">
              <w:rPr>
                <w:rFonts w:ascii="Arial" w:eastAsia="Times New Roman" w:hAnsi="Arial" w:cs="Arial"/>
                <w:lang w:eastAsia="sr-Latn-RS"/>
              </w:rPr>
              <w:t>zagađujuće</w:t>
            </w:r>
            <w:proofErr w:type="spellEnd"/>
            <w:r w:rsidRPr="00C11B63">
              <w:rPr>
                <w:rFonts w:ascii="Arial" w:eastAsia="Times New Roman" w:hAnsi="Arial" w:cs="Arial"/>
                <w:lang w:eastAsia="sr-Latn-RS"/>
              </w:rPr>
              <w:t xml:space="preserve"> materije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oksida sumpora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oksida azota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praškastih materija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83"/>
        <w:gridCol w:w="1401"/>
        <w:gridCol w:w="1282"/>
        <w:gridCol w:w="1401"/>
        <w:gridCol w:w="1282"/>
        <w:gridCol w:w="1401"/>
        <w:gridCol w:w="1282"/>
      </w:tblGrid>
      <w:tr w:rsidR="00C11B63" w:rsidRPr="00C11B63" w:rsidTr="00C11B63">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jc w:val="center"/>
              <w:rPr>
                <w:rFonts w:ascii="Arial" w:eastAsia="Times New Roman" w:hAnsi="Arial" w:cs="Arial"/>
                <w:b/>
                <w:bCs/>
                <w:lang w:eastAsia="sr-Latn-RS"/>
              </w:rPr>
            </w:pPr>
            <w:r w:rsidRPr="00C11B63">
              <w:rPr>
                <w:rFonts w:ascii="Arial" w:eastAsia="Times New Roman" w:hAnsi="Arial" w:cs="Arial"/>
                <w:b/>
                <w:bCs/>
                <w:lang w:eastAsia="sr-Latn-RS"/>
              </w:rPr>
              <w:t xml:space="preserve">Period trajanja </w:t>
            </w:r>
          </w:p>
        </w:tc>
      </w:tr>
      <w:tr w:rsidR="00C11B63" w:rsidRPr="00C11B63" w:rsidTr="00C11B63">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Korišćeno gorivo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pokretanja postrojenja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normalnog rada postrojenja </w:t>
            </w:r>
          </w:p>
        </w:tc>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zaustavljanja postrojenja </w:t>
            </w:r>
          </w:p>
        </w:tc>
      </w:tr>
      <w:tr w:rsidR="00C11B63" w:rsidRPr="00C11B63" w:rsidTr="00C11B63">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sa uključenom opremom za smanjenje emisija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bez uključene opreme za smanjenje emisija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sa uključenom opremom za smanjenje emisija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bez uključene opreme za smanjenje emisija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sa uključenom opremom za smanjenje emisija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bez uključene opreme za smanjenje emisija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gridSpan w:val="2"/>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00"/>
        <w:gridCol w:w="7032"/>
      </w:tblGrid>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BFBFBF"/>
            <w:hideMark/>
          </w:tcPr>
          <w:p w:rsidR="00C11B63" w:rsidRPr="00C11B63" w:rsidRDefault="00C11B63" w:rsidP="00C11B63">
            <w:pPr>
              <w:spacing w:before="100" w:beforeAutospacing="1" w:after="100" w:afterAutospacing="1" w:line="240" w:lineRule="auto"/>
              <w:rPr>
                <w:rFonts w:ascii="Arial" w:eastAsia="Times New Roman" w:hAnsi="Arial" w:cs="Arial"/>
                <w:b/>
                <w:bCs/>
                <w:lang w:eastAsia="sr-Latn-RS"/>
              </w:rPr>
            </w:pPr>
            <w:r w:rsidRPr="00C11B63">
              <w:rPr>
                <w:rFonts w:ascii="Arial" w:eastAsia="Times New Roman" w:hAnsi="Arial" w:cs="Arial"/>
                <w:b/>
                <w:bCs/>
                <w:lang w:eastAsia="sr-Latn-RS"/>
              </w:rPr>
              <w:t xml:space="preserve">Osnovni podaci </w:t>
            </w:r>
          </w:p>
        </w:tc>
      </w:tr>
      <w:tr w:rsidR="00C11B63" w:rsidRPr="00C11B63" w:rsidTr="00C11B63">
        <w:trPr>
          <w:tblCellSpacing w:w="0" w:type="dxa"/>
        </w:trPr>
        <w:tc>
          <w:tcPr>
            <w:tcW w:w="1150" w:type="pct"/>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PIB </w:t>
            </w:r>
          </w:p>
        </w:tc>
        <w:tc>
          <w:tcPr>
            <w:tcW w:w="3850" w:type="pct"/>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lastRenderedPageBreak/>
              <w:t xml:space="preserve">Naziv preduzeća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Naziv postrojenja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C11B63" w:rsidRPr="00C11B63" w:rsidRDefault="00C11B63" w:rsidP="00C11B63">
            <w:pPr>
              <w:spacing w:before="100" w:beforeAutospacing="1" w:after="100" w:afterAutospacing="1" w:line="240" w:lineRule="auto"/>
              <w:rPr>
                <w:rFonts w:ascii="Arial" w:eastAsia="Times New Roman" w:hAnsi="Arial" w:cs="Arial"/>
                <w:lang w:eastAsia="sr-Latn-RS"/>
              </w:rPr>
            </w:pPr>
            <w:r w:rsidRPr="00C11B63">
              <w:rPr>
                <w:rFonts w:ascii="Arial" w:eastAsia="Times New Roman" w:hAnsi="Arial" w:cs="Arial"/>
                <w:lang w:eastAsia="sr-Latn-RS"/>
              </w:rPr>
              <w:t xml:space="preserve">Opština </w:t>
            </w: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C11B63" w:rsidRPr="00C11B63" w:rsidRDefault="00C11B63" w:rsidP="00C11B63">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03"/>
        <w:gridCol w:w="1112"/>
        <w:gridCol w:w="1112"/>
        <w:gridCol w:w="1394"/>
        <w:gridCol w:w="682"/>
        <w:gridCol w:w="903"/>
        <w:gridCol w:w="1112"/>
        <w:gridCol w:w="802"/>
        <w:gridCol w:w="1112"/>
      </w:tblGrid>
      <w:tr w:rsidR="00C11B63" w:rsidRPr="00C11B63" w:rsidTr="00C11B63">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Član 10. uredbe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Prilog 1. pod A) deo I tačka 1. Napomena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Prilog 1. pod A) deo II fusnota 1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Prilog 1. pod A) deo II fusnota 2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Radni časovi (operativni prosek za pet godina)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GVE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GVE SO</w:t>
            </w:r>
            <w:r w:rsidRPr="00C11B63">
              <w:rPr>
                <w:rFonts w:ascii="Arial" w:eastAsia="Times New Roman" w:hAnsi="Arial" w:cs="Arial"/>
                <w:sz w:val="15"/>
                <w:szCs w:val="15"/>
                <w:vertAlign w:val="subscript"/>
                <w:lang w:eastAsia="sr-Latn-RS"/>
              </w:rPr>
              <w:t>2</w:t>
            </w:r>
            <w:r w:rsidRPr="00C11B63">
              <w:rPr>
                <w:rFonts w:ascii="Arial" w:eastAsia="Times New Roman" w:hAnsi="Arial" w:cs="Arial"/>
                <w:lang w:eastAsia="sr-Latn-RS"/>
              </w:rPr>
              <w:t xml:space="preserve">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Stepen </w:t>
            </w:r>
            <w:proofErr w:type="spellStart"/>
            <w:r w:rsidRPr="00C11B63">
              <w:rPr>
                <w:rFonts w:ascii="Arial" w:eastAsia="Times New Roman" w:hAnsi="Arial" w:cs="Arial"/>
                <w:lang w:eastAsia="sr-Latn-RS"/>
              </w:rPr>
              <w:t>odsumporavanja</w:t>
            </w:r>
            <w:proofErr w:type="spellEnd"/>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Ukupan sumpor (t)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Radni časovi (operativni prosek za pet godina)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Sadržaj isparljivih materija u čvrstom gorivu (osim biomase) (%) </w:t>
            </w:r>
          </w:p>
        </w:tc>
        <w:tc>
          <w:tcPr>
            <w:tcW w:w="0" w:type="auto"/>
            <w:tcBorders>
              <w:top w:val="outset" w:sz="6" w:space="0" w:color="auto"/>
              <w:left w:val="outset" w:sz="6" w:space="0" w:color="auto"/>
              <w:bottom w:val="outset" w:sz="6" w:space="0" w:color="auto"/>
              <w:right w:val="outset" w:sz="6" w:space="0" w:color="auto"/>
            </w:tcBorders>
            <w:vAlign w:val="center"/>
            <w:hideMark/>
          </w:tcPr>
          <w:p w:rsidR="00C11B63" w:rsidRPr="00C11B63" w:rsidRDefault="00C11B63" w:rsidP="00C11B63">
            <w:pPr>
              <w:spacing w:before="100" w:beforeAutospacing="1" w:after="100" w:afterAutospacing="1" w:line="240" w:lineRule="auto"/>
              <w:jc w:val="center"/>
              <w:rPr>
                <w:rFonts w:ascii="Arial" w:eastAsia="Times New Roman" w:hAnsi="Arial" w:cs="Arial"/>
                <w:lang w:eastAsia="sr-Latn-RS"/>
              </w:rPr>
            </w:pPr>
            <w:r w:rsidRPr="00C11B63">
              <w:rPr>
                <w:rFonts w:ascii="Arial" w:eastAsia="Times New Roman" w:hAnsi="Arial" w:cs="Arial"/>
                <w:lang w:eastAsia="sr-Latn-RS"/>
              </w:rPr>
              <w:t xml:space="preserve">GVE </w:t>
            </w:r>
            <w:proofErr w:type="spellStart"/>
            <w:r w:rsidRPr="00C11B63">
              <w:rPr>
                <w:rFonts w:ascii="Arial" w:eastAsia="Times New Roman" w:hAnsi="Arial" w:cs="Arial"/>
                <w:lang w:eastAsia="sr-Latn-RS"/>
              </w:rPr>
              <w:t>NO</w:t>
            </w:r>
            <w:r w:rsidRPr="00C11B63">
              <w:rPr>
                <w:rFonts w:ascii="Arial" w:eastAsia="Times New Roman" w:hAnsi="Arial" w:cs="Arial"/>
                <w:sz w:val="15"/>
                <w:szCs w:val="15"/>
                <w:vertAlign w:val="subscript"/>
                <w:lang w:eastAsia="sr-Latn-RS"/>
              </w:rPr>
              <w:t>x</w:t>
            </w:r>
            <w:proofErr w:type="spellEnd"/>
            <w:r w:rsidRPr="00C11B63">
              <w:rPr>
                <w:rFonts w:ascii="Arial" w:eastAsia="Times New Roman" w:hAnsi="Arial" w:cs="Arial"/>
                <w:lang w:eastAsia="sr-Latn-RS"/>
              </w:rPr>
              <w:t xml:space="preserve"> (mg/normalni m</w:t>
            </w:r>
            <w:r w:rsidRPr="00C11B63">
              <w:rPr>
                <w:rFonts w:ascii="Arial" w:eastAsia="Times New Roman" w:hAnsi="Arial" w:cs="Arial"/>
                <w:sz w:val="15"/>
                <w:szCs w:val="15"/>
                <w:vertAlign w:val="superscript"/>
                <w:lang w:eastAsia="sr-Latn-RS"/>
              </w:rPr>
              <w:t>3</w:t>
            </w:r>
            <w:r w:rsidRPr="00C11B63">
              <w:rPr>
                <w:rFonts w:ascii="Arial" w:eastAsia="Times New Roman" w:hAnsi="Arial" w:cs="Arial"/>
                <w:lang w:eastAsia="sr-Latn-RS"/>
              </w:rPr>
              <w:t xml:space="preserve">) </w:t>
            </w: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r w:rsidR="00C11B63" w:rsidRPr="00C11B63" w:rsidTr="00C11B63">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C11B63" w:rsidRPr="00C11B63" w:rsidRDefault="00C11B63" w:rsidP="00C11B63">
            <w:pPr>
              <w:spacing w:after="0" w:line="240" w:lineRule="auto"/>
              <w:rPr>
                <w:rFonts w:ascii="Times New Roman" w:eastAsia="Times New Roman" w:hAnsi="Times New Roman" w:cs="Times New Roman"/>
                <w:sz w:val="24"/>
                <w:szCs w:val="24"/>
                <w:lang w:eastAsia="sr-Latn-RS"/>
              </w:rPr>
            </w:pPr>
          </w:p>
        </w:tc>
      </w:tr>
    </w:tbl>
    <w:p w:rsidR="00732E31" w:rsidRDefault="00732E31"/>
    <w:sectPr w:rsidR="00732E31">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B63"/>
    <w:rsid w:val="002A5537"/>
    <w:rsid w:val="00732E31"/>
    <w:rsid w:val="00C11B6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C11B63"/>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C11B63"/>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C11B63"/>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C11B63"/>
    <w:rPr>
      <w:rFonts w:ascii="Arial" w:hAnsi="Arial" w:cs="Arial" w:hint="default"/>
      <w:strike w:val="0"/>
      <w:dstrike w:val="0"/>
      <w:color w:val="800080"/>
      <w:u w:val="single"/>
      <w:effect w:val="none"/>
    </w:rPr>
  </w:style>
  <w:style w:type="paragraph" w:customStyle="1" w:styleId="singl">
    <w:name w:val="singl"/>
    <w:basedOn w:val="Normal"/>
    <w:rsid w:val="00C11B63"/>
    <w:pPr>
      <w:spacing w:after="24" w:line="240" w:lineRule="auto"/>
    </w:pPr>
    <w:rPr>
      <w:rFonts w:ascii="Arial" w:eastAsia="Times New Roman" w:hAnsi="Arial" w:cs="Arial"/>
      <w:lang w:eastAsia="sr-Latn-RS"/>
    </w:rPr>
  </w:style>
  <w:style w:type="paragraph" w:customStyle="1" w:styleId="tabelamolovani">
    <w:name w:val="tabelamolovani"/>
    <w:basedOn w:val="Normal"/>
    <w:rsid w:val="00C11B63"/>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C11B63"/>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C11B63"/>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C11B63"/>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C11B63"/>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C11B63"/>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C11B63"/>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C11B63"/>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C11B63"/>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C11B63"/>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C11B63"/>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C11B63"/>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C11B63"/>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C11B63"/>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C11B63"/>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C11B63"/>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C11B63"/>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C11B63"/>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C11B63"/>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C11B63"/>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C11B63"/>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C11B63"/>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C11B63"/>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C11B63"/>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C11B63"/>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C11B63"/>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C11B63"/>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C11B63"/>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C11B63"/>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C11B63"/>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C11B63"/>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C11B63"/>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C11B63"/>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C11B63"/>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C11B63"/>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C11B63"/>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C11B63"/>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C11B63"/>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C11B63"/>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C11B63"/>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C11B63"/>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C11B63"/>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C11B63"/>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C11B63"/>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C11B63"/>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C11B63"/>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C11B63"/>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C11B63"/>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C11B63"/>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C11B63"/>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C11B63"/>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C11B63"/>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C11B63"/>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C11B63"/>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C11B63"/>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C11B63"/>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C11B63"/>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C11B63"/>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C11B63"/>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C11B63"/>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C11B63"/>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C11B63"/>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C11B63"/>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C11B63"/>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C11B63"/>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C11B63"/>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C11B63"/>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C11B63"/>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C11B63"/>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C11B63"/>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C11B63"/>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C11B63"/>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C11B63"/>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C11B63"/>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C11B63"/>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C11B63"/>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C11B63"/>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C11B63"/>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C11B63"/>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C11B63"/>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C11B63"/>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C11B63"/>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C11B63"/>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C11B63"/>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C11B63"/>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C11B63"/>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C11B63"/>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C11B63"/>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C11B63"/>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C11B63"/>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C11B63"/>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C11B63"/>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C11B63"/>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C11B63"/>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C11B63"/>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C11B63"/>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C11B63"/>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C11B63"/>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C11B63"/>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C11B63"/>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C11B63"/>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C11B63"/>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C11B63"/>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C11B63"/>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C11B63"/>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C11B63"/>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C11B63"/>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C11B63"/>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C11B63"/>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C11B63"/>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C11B63"/>
    <w:pPr>
      <w:spacing w:before="100" w:beforeAutospacing="1" w:after="100" w:afterAutospacing="1" w:line="240" w:lineRule="auto"/>
      <w:ind w:firstLine="1247"/>
    </w:pPr>
    <w:rPr>
      <w:rFonts w:ascii="Arial" w:eastAsia="Times New Roman" w:hAnsi="Arial" w:cs="Arial"/>
      <w:sz w:val="14"/>
      <w:szCs w:val="14"/>
      <w:lang w:eastAsia="sr-Latn-RS"/>
    </w:rPr>
  </w:style>
  <w:style w:type="paragraph" w:customStyle="1" w:styleId="style1">
    <w:name w:val="style1"/>
    <w:basedOn w:val="Normal"/>
    <w:rsid w:val="00C11B63"/>
    <w:pPr>
      <w:spacing w:before="100" w:beforeAutospacing="1" w:after="100" w:afterAutospacing="1" w:line="240" w:lineRule="auto"/>
    </w:pPr>
    <w:rPr>
      <w:rFonts w:ascii="Times New Roman" w:eastAsia="Times New Roman" w:hAnsi="Times New Roman" w:cs="Times New Roman"/>
      <w:color w:val="FFFFFF"/>
      <w:sz w:val="24"/>
      <w:szCs w:val="24"/>
      <w:lang w:eastAsia="sr-Latn-RS"/>
    </w:rPr>
  </w:style>
  <w:style w:type="character" w:customStyle="1" w:styleId="stepen1">
    <w:name w:val="stepen1"/>
    <w:basedOn w:val="Podrazumevanifontpasusa"/>
    <w:rsid w:val="00C11B63"/>
    <w:rPr>
      <w:sz w:val="15"/>
      <w:szCs w:val="15"/>
      <w:vertAlign w:val="superscript"/>
    </w:rPr>
  </w:style>
  <w:style w:type="character" w:customStyle="1" w:styleId="indeks1">
    <w:name w:val="indeks1"/>
    <w:basedOn w:val="Podrazumevanifontpasusa"/>
    <w:rsid w:val="00C11B63"/>
    <w:rPr>
      <w:sz w:val="15"/>
      <w:szCs w:val="15"/>
      <w:vertAlign w:val="subscript"/>
    </w:rPr>
  </w:style>
  <w:style w:type="character" w:customStyle="1" w:styleId="normal10">
    <w:name w:val="normal1"/>
    <w:basedOn w:val="Podrazumevanifontpasusa"/>
    <w:rsid w:val="00C11B63"/>
    <w:rPr>
      <w:rFonts w:ascii="Arial" w:hAnsi="Arial" w:cs="Arial" w:hint="default"/>
      <w:sz w:val="22"/>
      <w:szCs w:val="22"/>
    </w:rPr>
  </w:style>
  <w:style w:type="paragraph" w:styleId="Naslov">
    <w:name w:val="Title"/>
    <w:basedOn w:val="Normal"/>
    <w:next w:val="Normal"/>
    <w:link w:val="NaslovChar"/>
    <w:uiPriority w:val="10"/>
    <w:qFormat/>
    <w:rsid w:val="002A553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A5537"/>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A553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A5537"/>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C11B63"/>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C11B63"/>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C11B63"/>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C11B63"/>
    <w:rPr>
      <w:rFonts w:ascii="Arial" w:hAnsi="Arial" w:cs="Arial" w:hint="default"/>
      <w:strike w:val="0"/>
      <w:dstrike w:val="0"/>
      <w:color w:val="800080"/>
      <w:u w:val="single"/>
      <w:effect w:val="none"/>
    </w:rPr>
  </w:style>
  <w:style w:type="paragraph" w:customStyle="1" w:styleId="singl">
    <w:name w:val="singl"/>
    <w:basedOn w:val="Normal"/>
    <w:rsid w:val="00C11B63"/>
    <w:pPr>
      <w:spacing w:after="24" w:line="240" w:lineRule="auto"/>
    </w:pPr>
    <w:rPr>
      <w:rFonts w:ascii="Arial" w:eastAsia="Times New Roman" w:hAnsi="Arial" w:cs="Arial"/>
      <w:lang w:eastAsia="sr-Latn-RS"/>
    </w:rPr>
  </w:style>
  <w:style w:type="paragraph" w:customStyle="1" w:styleId="tabelamolovani">
    <w:name w:val="tabelamolovani"/>
    <w:basedOn w:val="Normal"/>
    <w:rsid w:val="00C11B63"/>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C11B63"/>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C11B63"/>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C11B63"/>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C11B63"/>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C11B63"/>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C11B63"/>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C11B63"/>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C11B63"/>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C11B63"/>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C11B63"/>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C11B63"/>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C11B63"/>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C11B63"/>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C11B63"/>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C11B63"/>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C11B63"/>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C11B63"/>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C11B63"/>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C11B63"/>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C11B63"/>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C11B63"/>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C11B63"/>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C11B63"/>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C11B63"/>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C11B63"/>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C11B63"/>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C11B63"/>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C11B63"/>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C11B63"/>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C11B63"/>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C11B63"/>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C11B63"/>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C11B63"/>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C11B63"/>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C11B63"/>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C11B63"/>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C11B63"/>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C11B63"/>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C11B63"/>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C11B63"/>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C11B63"/>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C11B63"/>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C11B63"/>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C11B63"/>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C11B63"/>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C11B63"/>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C11B63"/>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C11B63"/>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C11B63"/>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C11B63"/>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C11B63"/>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C11B63"/>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C11B63"/>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C11B63"/>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C11B63"/>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C11B63"/>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C11B63"/>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C11B63"/>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C11B63"/>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C11B63"/>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C11B63"/>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C11B63"/>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C11B63"/>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C11B63"/>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C11B63"/>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C11B63"/>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C11B63"/>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C11B63"/>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C11B63"/>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C11B63"/>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C11B63"/>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C11B63"/>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C11B63"/>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C11B63"/>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C11B63"/>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C11B63"/>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C11B63"/>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C11B63"/>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C11B63"/>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C11B63"/>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C11B63"/>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C11B63"/>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C11B63"/>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C11B63"/>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C11B63"/>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C11B63"/>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C11B63"/>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C11B63"/>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C11B63"/>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C11B63"/>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C11B63"/>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C11B63"/>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C11B63"/>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C11B63"/>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C11B63"/>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C11B63"/>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C11B63"/>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C11B63"/>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C11B63"/>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C11B63"/>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C11B63"/>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C11B63"/>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C11B63"/>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C11B63"/>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C11B63"/>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C11B63"/>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C11B63"/>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C11B63"/>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C11B63"/>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C11B63"/>
    <w:pPr>
      <w:spacing w:before="100" w:beforeAutospacing="1" w:after="100" w:afterAutospacing="1" w:line="240" w:lineRule="auto"/>
      <w:ind w:firstLine="1247"/>
    </w:pPr>
    <w:rPr>
      <w:rFonts w:ascii="Arial" w:eastAsia="Times New Roman" w:hAnsi="Arial" w:cs="Arial"/>
      <w:sz w:val="14"/>
      <w:szCs w:val="14"/>
      <w:lang w:eastAsia="sr-Latn-RS"/>
    </w:rPr>
  </w:style>
  <w:style w:type="paragraph" w:customStyle="1" w:styleId="style1">
    <w:name w:val="style1"/>
    <w:basedOn w:val="Normal"/>
    <w:rsid w:val="00C11B63"/>
    <w:pPr>
      <w:spacing w:before="100" w:beforeAutospacing="1" w:after="100" w:afterAutospacing="1" w:line="240" w:lineRule="auto"/>
    </w:pPr>
    <w:rPr>
      <w:rFonts w:ascii="Times New Roman" w:eastAsia="Times New Roman" w:hAnsi="Times New Roman" w:cs="Times New Roman"/>
      <w:color w:val="FFFFFF"/>
      <w:sz w:val="24"/>
      <w:szCs w:val="24"/>
      <w:lang w:eastAsia="sr-Latn-RS"/>
    </w:rPr>
  </w:style>
  <w:style w:type="character" w:customStyle="1" w:styleId="stepen1">
    <w:name w:val="stepen1"/>
    <w:basedOn w:val="Podrazumevanifontpasusa"/>
    <w:rsid w:val="00C11B63"/>
    <w:rPr>
      <w:sz w:val="15"/>
      <w:szCs w:val="15"/>
      <w:vertAlign w:val="superscript"/>
    </w:rPr>
  </w:style>
  <w:style w:type="character" w:customStyle="1" w:styleId="indeks1">
    <w:name w:val="indeks1"/>
    <w:basedOn w:val="Podrazumevanifontpasusa"/>
    <w:rsid w:val="00C11B63"/>
    <w:rPr>
      <w:sz w:val="15"/>
      <w:szCs w:val="15"/>
      <w:vertAlign w:val="subscript"/>
    </w:rPr>
  </w:style>
  <w:style w:type="character" w:customStyle="1" w:styleId="normal10">
    <w:name w:val="normal1"/>
    <w:basedOn w:val="Podrazumevanifontpasusa"/>
    <w:rsid w:val="00C11B63"/>
    <w:rPr>
      <w:rFonts w:ascii="Arial" w:hAnsi="Arial" w:cs="Arial" w:hint="default"/>
      <w:sz w:val="22"/>
      <w:szCs w:val="22"/>
    </w:rPr>
  </w:style>
  <w:style w:type="paragraph" w:styleId="Naslov">
    <w:name w:val="Title"/>
    <w:basedOn w:val="Normal"/>
    <w:next w:val="Normal"/>
    <w:link w:val="NaslovChar"/>
    <w:uiPriority w:val="10"/>
    <w:qFormat/>
    <w:rsid w:val="002A553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2A5537"/>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2A553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2A5537"/>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44</Pages>
  <Words>14496</Words>
  <Characters>82631</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2016-02-04T13:08:00Z</dcterms:created>
  <dcterms:modified xsi:type="dcterms:W3CDTF">2018-09-07T11:31:00Z</dcterms:modified>
</cp:coreProperties>
</file>