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625" w:rsidRPr="006D1625" w:rsidRDefault="006D1625" w:rsidP="006D1625">
      <w:pPr>
        <w:pStyle w:val="Naslov"/>
        <w:jc w:val="center"/>
        <w:rPr>
          <w:rFonts w:eastAsia="Times New Roman"/>
          <w:lang w:eastAsia="sr-Latn-RS"/>
        </w:rPr>
      </w:pPr>
      <w:bookmarkStart w:id="0" w:name="clan_1"/>
      <w:bookmarkEnd w:id="0"/>
      <w:r w:rsidRPr="006D1625">
        <w:rPr>
          <w:rFonts w:eastAsia="Times New Roman"/>
          <w:lang w:eastAsia="sr-Latn-RS"/>
        </w:rPr>
        <w:t>ODLUKA</w:t>
      </w:r>
    </w:p>
    <w:p w:rsidR="006D1625" w:rsidRPr="006D1625" w:rsidRDefault="006D1625" w:rsidP="006D1625">
      <w:pPr>
        <w:pStyle w:val="Naslov"/>
        <w:jc w:val="center"/>
        <w:rPr>
          <w:rFonts w:eastAsia="Times New Roman"/>
          <w:lang w:eastAsia="sr-Latn-RS"/>
        </w:rPr>
      </w:pPr>
      <w:r w:rsidRPr="006D1625">
        <w:rPr>
          <w:rFonts w:eastAsia="Times New Roman"/>
          <w:lang w:eastAsia="sr-Latn-RS"/>
        </w:rPr>
        <w:t>O KRITERIJUMIMA, VISINI, NAČINU OBRAČUNA I PLAĆANJA NAKNADE ZA PROVERU PODATAKA IZ DOSIJEA O HEMIKALIJI, KAO I O VISINI DRUGIH NAKNADA UTVRĐENIH ZAKONOM O HEMIKALIJAMA</w:t>
      </w:r>
    </w:p>
    <w:p w:rsidR="006D1625" w:rsidRDefault="006D1625" w:rsidP="006D1625">
      <w:pPr>
        <w:pStyle w:val="Podnaslov"/>
        <w:jc w:val="center"/>
        <w:rPr>
          <w:rFonts w:eastAsia="Times New Roman"/>
          <w:lang w:eastAsia="sr-Latn-RS"/>
        </w:rPr>
      </w:pPr>
      <w:r w:rsidRPr="006D1625">
        <w:rPr>
          <w:rFonts w:eastAsia="Times New Roman"/>
          <w:lang w:eastAsia="sr-Latn-RS"/>
        </w:rPr>
        <w:t>("Sl. glasnik RS", br. 3/2011, 25/2011, 55/2011 i 5/2012)</w:t>
      </w:r>
    </w:p>
    <w:p w:rsidR="006D1625" w:rsidRDefault="006D1625" w:rsidP="006D1625">
      <w:pPr>
        <w:spacing w:before="240" w:after="120" w:line="240" w:lineRule="auto"/>
        <w:jc w:val="center"/>
        <w:rPr>
          <w:rFonts w:ascii="Arial" w:eastAsia="Times New Roman" w:hAnsi="Arial" w:cs="Arial"/>
          <w:b/>
          <w:bCs/>
          <w:sz w:val="24"/>
          <w:szCs w:val="24"/>
          <w:lang w:eastAsia="sr-Latn-RS"/>
        </w:rPr>
      </w:pPr>
    </w:p>
    <w:p w:rsidR="00512B4D" w:rsidRPr="00512B4D" w:rsidRDefault="00512B4D" w:rsidP="006D1625">
      <w:pPr>
        <w:spacing w:before="240" w:after="120" w:line="240" w:lineRule="auto"/>
        <w:jc w:val="center"/>
        <w:rPr>
          <w:rFonts w:ascii="Arial" w:eastAsia="Times New Roman" w:hAnsi="Arial" w:cs="Arial"/>
          <w:b/>
          <w:bCs/>
          <w:sz w:val="24"/>
          <w:szCs w:val="24"/>
          <w:lang w:eastAsia="sr-Latn-RS"/>
        </w:rPr>
      </w:pPr>
      <w:r w:rsidRPr="00512B4D">
        <w:rPr>
          <w:rFonts w:ascii="Arial" w:eastAsia="Times New Roman" w:hAnsi="Arial" w:cs="Arial"/>
          <w:b/>
          <w:bCs/>
          <w:sz w:val="24"/>
          <w:szCs w:val="24"/>
          <w:lang w:eastAsia="sr-Latn-RS"/>
        </w:rPr>
        <w:t xml:space="preserve">Član 1 </w:t>
      </w:r>
      <w:bookmarkStart w:id="1" w:name="_GoBack"/>
      <w:bookmarkEnd w:id="1"/>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Ovom odlukom propisuju se: bliži kriterijumi, visina, način obračuna i plaćanja naknade za proveru podataka iz dosijea o hemikaliji; visina naknade za procenu opravdanosti zahteva za upotrebu alternativnog hemijskog naziva supstance; visina naknade za stručnu procenu podataka koje dostavlja izvoznik radi sprovođenja postupka prethodnog obaveštenja i PIC postupka; visina naknade za izdavanje dozvole za obavljanje delatnosti prometa i dozvole za korišćenje naročito opasnih hemikalija; visina naknade za produženje dozvole za obavljanje delatnosti prometa i dozvole za korišćenje naročito opasnih hemikalija; visina naknade za procenu tehničkog dosijea o surfaktantu, kao i visina naknade za davanje stručne ocene o svojstvima i nameni određenih hemikalija u vezi sa primenom ograničenja i zabrana proizvodnje, stavljanja u promet i korišćenja hemikalija, kao i za utvrđivanje, na osnovu procene svojstava, namene i korišćenja da li je određena hemikalija detergent i slično. </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2" w:name="clan_2"/>
      <w:bookmarkEnd w:id="2"/>
      <w:r w:rsidRPr="00512B4D">
        <w:rPr>
          <w:rFonts w:ascii="Arial" w:eastAsia="Times New Roman" w:hAnsi="Arial" w:cs="Arial"/>
          <w:b/>
          <w:bCs/>
          <w:sz w:val="24"/>
          <w:szCs w:val="24"/>
          <w:lang w:eastAsia="sr-Latn-RS"/>
        </w:rPr>
        <w:t xml:space="preserve">Član 2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Visina naknade za proveru podataka iz dosijea o hemikaliji obračunava se u zavisnosti od sledećih kriterijuma: broja i količine hemikalija koje je proizvođač, uvoznik ili dalji korisnik (u daljem tekstu: lice koje upisuje hemikalije) stavio u promet u prethodnoj godini.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Naknada za ukupan broj hemikalija koje su stavljene u promet u prethodnoj godini obračunava se prema sledećoj formuli: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85"/>
        <w:gridCol w:w="104"/>
        <w:gridCol w:w="485"/>
        <w:gridCol w:w="342"/>
        <w:gridCol w:w="104"/>
        <w:gridCol w:w="7592"/>
      </w:tblGrid>
      <w:tr w:rsidR="00512B4D" w:rsidRPr="00512B4D" w:rsidTr="00512B4D">
        <w:trPr>
          <w:tblCellSpacing w:w="0" w:type="dxa"/>
        </w:trPr>
        <w:tc>
          <w:tcPr>
            <w:tcW w:w="300" w:type="pct"/>
            <w:vMerge w:val="restart"/>
            <w:noWrap/>
            <w:vAlign w:val="center"/>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i/>
                <w:iCs/>
                <w:lang w:eastAsia="sr-Latn-RS"/>
              </w:rPr>
              <w:t>N</w:t>
            </w:r>
            <w:r w:rsidRPr="00512B4D">
              <w:rPr>
                <w:rFonts w:ascii="Arial" w:eastAsia="Times New Roman" w:hAnsi="Arial" w:cs="Arial"/>
                <w:lang w:eastAsia="sr-Latn-RS"/>
              </w:rPr>
              <w:t xml:space="preserve"> = </w:t>
            </w:r>
          </w:p>
        </w:tc>
        <w:tc>
          <w:tcPr>
            <w:tcW w:w="50" w:type="pct"/>
            <w:vMerge w:val="restart"/>
            <w:vAlign w:val="center"/>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 </w:t>
            </w:r>
          </w:p>
        </w:tc>
        <w:tc>
          <w:tcPr>
            <w:tcW w:w="300" w:type="pct"/>
            <w:tcBorders>
              <w:top w:val="single" w:sz="2" w:space="0" w:color="000000"/>
              <w:left w:val="single" w:sz="2" w:space="0" w:color="000000"/>
              <w:bottom w:val="single" w:sz="6" w:space="0" w:color="000000"/>
              <w:right w:val="single" w:sz="2" w:space="0" w:color="000000"/>
            </w:tcBorders>
            <w:noWrap/>
            <w:vAlign w:val="center"/>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i/>
                <w:iCs/>
                <w:lang w:eastAsia="sr-Latn-RS"/>
              </w:rPr>
              <w:t xml:space="preserve">a - b </w:t>
            </w:r>
          </w:p>
        </w:tc>
        <w:tc>
          <w:tcPr>
            <w:tcW w:w="100" w:type="pct"/>
            <w:vMerge w:val="restart"/>
            <w:noWrap/>
            <w:vAlign w:val="center"/>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i/>
                <w:iCs/>
                <w:lang w:eastAsia="sr-Latn-RS"/>
              </w:rPr>
              <w:t xml:space="preserve">+ b </w:t>
            </w:r>
          </w:p>
        </w:tc>
        <w:tc>
          <w:tcPr>
            <w:tcW w:w="50" w:type="pct"/>
            <w:vMerge w:val="restart"/>
            <w:vAlign w:val="center"/>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 </w:t>
            </w:r>
          </w:p>
        </w:tc>
        <w:tc>
          <w:tcPr>
            <w:tcW w:w="4200" w:type="pct"/>
            <w:vMerge w:val="restart"/>
            <w:vAlign w:val="center"/>
            <w:hideMark/>
          </w:tcPr>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w:t>
            </w:r>
            <w:r w:rsidRPr="00512B4D">
              <w:rPr>
                <w:rFonts w:ascii="Arial" w:eastAsia="Times New Roman" w:hAnsi="Arial" w:cs="Arial"/>
                <w:i/>
                <w:iCs/>
                <w:lang w:eastAsia="sr-Latn-RS"/>
              </w:rPr>
              <w:t xml:space="preserve">n </w:t>
            </w:r>
          </w:p>
        </w:tc>
      </w:tr>
      <w:tr w:rsidR="00512B4D" w:rsidRPr="00512B4D" w:rsidTr="00512B4D">
        <w:trPr>
          <w:tblCellSpacing w:w="0" w:type="dxa"/>
        </w:trPr>
        <w:tc>
          <w:tcPr>
            <w:tcW w:w="0" w:type="auto"/>
            <w:vMerge/>
            <w:vAlign w:val="center"/>
            <w:hideMark/>
          </w:tcPr>
          <w:p w:rsidR="00512B4D" w:rsidRPr="00512B4D" w:rsidRDefault="00512B4D" w:rsidP="00512B4D">
            <w:pPr>
              <w:spacing w:after="0" w:line="240" w:lineRule="auto"/>
              <w:rPr>
                <w:rFonts w:ascii="Arial" w:eastAsia="Times New Roman" w:hAnsi="Arial" w:cs="Arial"/>
                <w:lang w:eastAsia="sr-Latn-RS"/>
              </w:rPr>
            </w:pPr>
          </w:p>
        </w:tc>
        <w:tc>
          <w:tcPr>
            <w:tcW w:w="0" w:type="auto"/>
            <w:vMerge/>
            <w:vAlign w:val="center"/>
            <w:hideMark/>
          </w:tcPr>
          <w:p w:rsidR="00512B4D" w:rsidRPr="00512B4D" w:rsidRDefault="00512B4D" w:rsidP="00512B4D">
            <w:pPr>
              <w:spacing w:after="0" w:line="240" w:lineRule="auto"/>
              <w:rPr>
                <w:rFonts w:ascii="Arial" w:eastAsia="Times New Roman" w:hAnsi="Arial" w:cs="Arial"/>
                <w:lang w:eastAsia="sr-Latn-RS"/>
              </w:rPr>
            </w:pPr>
          </w:p>
        </w:tc>
        <w:tc>
          <w:tcPr>
            <w:tcW w:w="0" w:type="auto"/>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i/>
                <w:iCs/>
                <w:lang w:eastAsia="sr-Latn-RS"/>
              </w:rPr>
              <w:t>K</w:t>
            </w:r>
            <w:r w:rsidRPr="00512B4D">
              <w:rPr>
                <w:rFonts w:ascii="Arial" w:eastAsia="Times New Roman" w:hAnsi="Arial" w:cs="Arial"/>
                <w:i/>
                <w:iCs/>
                <w:sz w:val="15"/>
                <w:szCs w:val="15"/>
                <w:vertAlign w:val="superscript"/>
                <w:lang w:eastAsia="sr-Latn-RS"/>
              </w:rPr>
              <w:t>n</w:t>
            </w:r>
          </w:p>
        </w:tc>
        <w:tc>
          <w:tcPr>
            <w:tcW w:w="0" w:type="auto"/>
            <w:vMerge/>
            <w:vAlign w:val="center"/>
            <w:hideMark/>
          </w:tcPr>
          <w:p w:rsidR="00512B4D" w:rsidRPr="00512B4D" w:rsidRDefault="00512B4D" w:rsidP="00512B4D">
            <w:pPr>
              <w:spacing w:after="0" w:line="240" w:lineRule="auto"/>
              <w:rPr>
                <w:rFonts w:ascii="Arial" w:eastAsia="Times New Roman" w:hAnsi="Arial" w:cs="Arial"/>
                <w:lang w:eastAsia="sr-Latn-RS"/>
              </w:rPr>
            </w:pPr>
          </w:p>
        </w:tc>
        <w:tc>
          <w:tcPr>
            <w:tcW w:w="0" w:type="auto"/>
            <w:vMerge/>
            <w:vAlign w:val="center"/>
            <w:hideMark/>
          </w:tcPr>
          <w:p w:rsidR="00512B4D" w:rsidRPr="00512B4D" w:rsidRDefault="00512B4D" w:rsidP="00512B4D">
            <w:pPr>
              <w:spacing w:after="0" w:line="240" w:lineRule="auto"/>
              <w:rPr>
                <w:rFonts w:ascii="Arial" w:eastAsia="Times New Roman" w:hAnsi="Arial" w:cs="Arial"/>
                <w:lang w:eastAsia="sr-Latn-RS"/>
              </w:rPr>
            </w:pPr>
          </w:p>
        </w:tc>
        <w:tc>
          <w:tcPr>
            <w:tcW w:w="0" w:type="auto"/>
            <w:vMerge/>
            <w:vAlign w:val="center"/>
            <w:hideMark/>
          </w:tcPr>
          <w:p w:rsidR="00512B4D" w:rsidRPr="00512B4D" w:rsidRDefault="00512B4D" w:rsidP="00512B4D">
            <w:pPr>
              <w:spacing w:after="0" w:line="240" w:lineRule="auto"/>
              <w:rPr>
                <w:rFonts w:ascii="Arial" w:eastAsia="Times New Roman" w:hAnsi="Arial" w:cs="Arial"/>
                <w:lang w:eastAsia="sr-Latn-RS"/>
              </w:rPr>
            </w:pPr>
          </w:p>
        </w:tc>
      </w:tr>
    </w:tbl>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pri čemu je: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N - naknada za ukupan broj hemikalija koje su stavljene u promet u prethodnoj godini,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lastRenderedPageBreak/>
        <w:t xml:space="preserve">a - maksimalna naknada koja se plaća za proveru podataka za jednu hemikaliju u iznosu od 7.000 dinara,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b - minimalna naknada koja se plaća za proveru podataka za jednu hemikaliju u iznosu od 2.000 dinara,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K - korektivni koeficijent koji iznosi 1,018,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n - ukupan broj hemikalija koje prijavljuje lice koje upisuje hemikalije.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Naknada za ukupnu količinu hemikalija koje su stavljene u promet u prethodnoj godini određuje se prema sledećoj tabeli: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83"/>
        <w:gridCol w:w="2983"/>
        <w:gridCol w:w="3166"/>
      </w:tblGrid>
      <w:tr w:rsidR="00512B4D" w:rsidRPr="00512B4D" w:rsidTr="00512B4D">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Količina hemikalija stavljenih u promet</w:t>
            </w:r>
            <w:r w:rsidRPr="00512B4D">
              <w:rPr>
                <w:rFonts w:ascii="Arial" w:eastAsia="Times New Roman" w:hAnsi="Arial" w:cs="Arial"/>
                <w:lang w:eastAsia="sr-Latn-RS"/>
              </w:rPr>
              <w:br/>
              <w:t xml:space="preserve">(izražena u tonama)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Iznos naknade</w:t>
            </w:r>
            <w:r w:rsidRPr="00512B4D">
              <w:rPr>
                <w:rFonts w:ascii="Arial" w:eastAsia="Times New Roman" w:hAnsi="Arial" w:cs="Arial"/>
                <w:lang w:eastAsia="sr-Latn-RS"/>
              </w:rPr>
              <w:br/>
              <w:t xml:space="preserve">(izražen u dinarima)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&gt;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after="0" w:line="240" w:lineRule="auto"/>
              <w:rPr>
                <w:rFonts w:ascii="Times New Roman" w:eastAsia="Times New Roman" w:hAnsi="Times New Roman" w:cs="Times New Roman"/>
                <w:sz w:val="24"/>
                <w:szCs w:val="24"/>
                <w:lang w:eastAsia="sr-Latn-RS"/>
              </w:rPr>
            </w:pP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 0,1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1.500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3.000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70.000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85.000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750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750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120.000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130.000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3.500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140.000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3.500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150.000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175.000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15.000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200.000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15.000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30.000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225.000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30.000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250.000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75.000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275.000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75.000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300.000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200.000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400.000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200.000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350.000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450.000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350.000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500.000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750.000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650.000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750.000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800.000 </w:t>
            </w:r>
          </w:p>
        </w:tc>
      </w:tr>
      <w:tr w:rsidR="00512B4D" w:rsidRPr="00512B4D" w:rsidTr="00512B4D">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1.000.000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i više </w:t>
            </w:r>
          </w:p>
        </w:tc>
        <w:tc>
          <w:tcPr>
            <w:tcW w:w="0" w:type="auto"/>
            <w:tcBorders>
              <w:top w:val="outset" w:sz="6" w:space="0" w:color="auto"/>
              <w:left w:val="outset" w:sz="6" w:space="0" w:color="auto"/>
              <w:bottom w:val="outset" w:sz="6" w:space="0" w:color="auto"/>
              <w:right w:val="outset" w:sz="6" w:space="0" w:color="auto"/>
            </w:tcBorders>
            <w:hideMark/>
          </w:tcPr>
          <w:p w:rsidR="00512B4D" w:rsidRPr="00512B4D" w:rsidRDefault="00512B4D" w:rsidP="00512B4D">
            <w:pPr>
              <w:spacing w:before="100" w:beforeAutospacing="1" w:after="100" w:afterAutospacing="1" w:line="240" w:lineRule="auto"/>
              <w:jc w:val="center"/>
              <w:rPr>
                <w:rFonts w:ascii="Arial" w:eastAsia="Times New Roman" w:hAnsi="Arial" w:cs="Arial"/>
                <w:lang w:eastAsia="sr-Latn-RS"/>
              </w:rPr>
            </w:pPr>
            <w:r w:rsidRPr="00512B4D">
              <w:rPr>
                <w:rFonts w:ascii="Arial" w:eastAsia="Times New Roman" w:hAnsi="Arial" w:cs="Arial"/>
                <w:lang w:eastAsia="sr-Latn-RS"/>
              </w:rPr>
              <w:t xml:space="preserve">1.000.000 </w:t>
            </w:r>
          </w:p>
        </w:tc>
      </w:tr>
    </w:tbl>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Visina naknade iz stava 1. ovog člana obračunava se sabiranjem naknade za ukupan broj hemikalija koje su stavljene u promet u prethodnoj godini iz stava 2. ovog člana i naknade za </w:t>
      </w:r>
      <w:r w:rsidRPr="00512B4D">
        <w:rPr>
          <w:rFonts w:ascii="Arial" w:eastAsia="Times New Roman" w:hAnsi="Arial" w:cs="Arial"/>
          <w:lang w:eastAsia="sr-Latn-RS"/>
        </w:rPr>
        <w:lastRenderedPageBreak/>
        <w:t xml:space="preserve">ukupnu količinu hemikalija koje su stavljene u promet u prethodnoj godini iz stava 3. ovog člana.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Visina naknade iz ovog člana ne može biti veća od 0,3% poslovnog prihoda koji je lice koje upisuje hemikalije ostvarilo u prethodnoj godini.</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Ako je obračunata visina naknade veća od 0,3% poslovnog prihoda koji je lice koje upisuje hemikalije ostvarilo u prethodnoj godini, plaća se naknada u iznosu od 0,3% poslovnog prihoda.</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3" w:name="clan_3"/>
      <w:bookmarkEnd w:id="3"/>
      <w:r w:rsidRPr="00512B4D">
        <w:rPr>
          <w:rFonts w:ascii="Arial" w:eastAsia="Times New Roman" w:hAnsi="Arial" w:cs="Arial"/>
          <w:b/>
          <w:bCs/>
          <w:sz w:val="24"/>
          <w:szCs w:val="24"/>
          <w:lang w:eastAsia="sr-Latn-RS"/>
        </w:rPr>
        <w:t xml:space="preserve">Član 3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Lice koje upisuje hemikalije, naknadu iz člana 2. ove odluke obračunava i plaća Agenciji za hemikalije (u daljem tekstu: Agencija) u najviše šest jednakih mesečnih rata, s tim da se prva mesečna rata plaća prilikom podnošenja prijave radi upisa hemikalija u Registar hemikalija, a poslednja najkasnije 180 dana od dana podnošenja prijave.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Lice koje upisuje hemikalije dužno je da dostavi Agenciji dokaz o svakoj izvršenoj uplati iz stava 1. ovog člana.</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4" w:name="clan_4"/>
      <w:bookmarkEnd w:id="4"/>
      <w:r w:rsidRPr="00512B4D">
        <w:rPr>
          <w:rFonts w:ascii="Arial" w:eastAsia="Times New Roman" w:hAnsi="Arial" w:cs="Arial"/>
          <w:b/>
          <w:bCs/>
          <w:sz w:val="24"/>
          <w:szCs w:val="24"/>
          <w:lang w:eastAsia="sr-Latn-RS"/>
        </w:rPr>
        <w:t xml:space="preserve">Član 4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Na osnovu podataka iz dosijea o hemikaliji Agencija rešenjem o upisu hemikalije u Registar hemikalija utvrđuje konačnu visinu naknade iz člana 2. ove odluke.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Ako je lice koje upisuje hemikalije platilo manji, odnosno veći iznos naknade od utvrđenog konačnog obračuna naknade iz stava 1. ovog člana, Agencija rešenjem iz stava 1. ovog člana utvrđuje uvećanje, odnosno smanjenje naknade.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Rešenjem iz stava 1. ovog člana utvrđuje se i način i rok plaćanja, odnosno vraćanja naknada iz st. 1. i 2. ovog člana.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Rokovi iz stava 3. ovog člana ne mogu biti duži od 30 dana od dana prijema rešenja. </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5" w:name="clan_5"/>
      <w:bookmarkEnd w:id="5"/>
      <w:r w:rsidRPr="00512B4D">
        <w:rPr>
          <w:rFonts w:ascii="Arial" w:eastAsia="Times New Roman" w:hAnsi="Arial" w:cs="Arial"/>
          <w:b/>
          <w:bCs/>
          <w:sz w:val="24"/>
          <w:szCs w:val="24"/>
          <w:lang w:eastAsia="sr-Latn-RS"/>
        </w:rPr>
        <w:t xml:space="preserve">Član 5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Visina naknade za procenu opravdanosti zahteva za upotrebu alternativnog hemijskog naziva supstance iznosi 40.000 dinara.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Izuzetno od stava 1. ovog člana, ukoliko je uz zahtev za upotrebu alternativnog hemijskog naziva supstance priložen dokaz da je u Evropskoj uniji odobren takav alternativni hemijski naziv za tu supstancu, visina naknade za procenu opravdanosti zahteva za upotrebu alternativnog hemijskog naziva supstance iznosi 15.000 dinara. </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6" w:name="clan_6"/>
      <w:bookmarkEnd w:id="6"/>
      <w:r w:rsidRPr="00512B4D">
        <w:rPr>
          <w:rFonts w:ascii="Arial" w:eastAsia="Times New Roman" w:hAnsi="Arial" w:cs="Arial"/>
          <w:b/>
          <w:bCs/>
          <w:sz w:val="24"/>
          <w:szCs w:val="24"/>
          <w:lang w:eastAsia="sr-Latn-RS"/>
        </w:rPr>
        <w:t xml:space="preserve">Član 6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Visina naknade za stručnu procenu podataka koje dostavlja izvoznik radi sprovođenja postupka prethodnog obaveštenja i PIC postupka iznosi 9.450 dinara za svaki pojedinačni postupak.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Izuzetno od stava 1. ovog člana kad se za jednu hemikaliju istovremeno sprovode i postupak prethodnog obaveštenja i PIC postupak visina naknade iznosi 9.450 dinara.</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7" w:name="clan_7"/>
      <w:bookmarkEnd w:id="7"/>
      <w:r w:rsidRPr="00512B4D">
        <w:rPr>
          <w:rFonts w:ascii="Arial" w:eastAsia="Times New Roman" w:hAnsi="Arial" w:cs="Arial"/>
          <w:b/>
          <w:bCs/>
          <w:sz w:val="24"/>
          <w:szCs w:val="24"/>
          <w:lang w:eastAsia="sr-Latn-RS"/>
        </w:rPr>
        <w:lastRenderedPageBreak/>
        <w:t xml:space="preserve">Član 7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Visina naknade koja se plaća za izdavanje dozvole za obavljanje delatnosti prometa naročito opasnih hemikalija uvozniku, proizvođaču odnosno daljem korisniku iznosi 25.000 dinara. </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8" w:name="clan_8"/>
      <w:bookmarkEnd w:id="8"/>
      <w:r w:rsidRPr="00512B4D">
        <w:rPr>
          <w:rFonts w:ascii="Arial" w:eastAsia="Times New Roman" w:hAnsi="Arial" w:cs="Arial"/>
          <w:b/>
          <w:bCs/>
          <w:sz w:val="24"/>
          <w:szCs w:val="24"/>
          <w:lang w:eastAsia="sr-Latn-RS"/>
        </w:rPr>
        <w:t xml:space="preserve">Član 8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Visina naknade za izdavanje dozvole za obavljanje delatnosti prometa naročito opasnih hemikalija distributeru koji nije uvoznik, proizvođač, odnosno dalji korisnik iznosi 15.000 dinara. </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9" w:name="clan_9"/>
      <w:bookmarkEnd w:id="9"/>
      <w:r w:rsidRPr="00512B4D">
        <w:rPr>
          <w:rFonts w:ascii="Arial" w:eastAsia="Times New Roman" w:hAnsi="Arial" w:cs="Arial"/>
          <w:b/>
          <w:bCs/>
          <w:sz w:val="24"/>
          <w:szCs w:val="24"/>
          <w:lang w:eastAsia="sr-Latn-RS"/>
        </w:rPr>
        <w:t xml:space="preserve">Član 9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Visina naknade za izdavanje dozvole za korišćenje naročito opasnih hemikalija iznosi 8.000 dinara. </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10" w:name="clan_10"/>
      <w:bookmarkEnd w:id="10"/>
      <w:r w:rsidRPr="00512B4D">
        <w:rPr>
          <w:rFonts w:ascii="Arial" w:eastAsia="Times New Roman" w:hAnsi="Arial" w:cs="Arial"/>
          <w:b/>
          <w:bCs/>
          <w:sz w:val="24"/>
          <w:szCs w:val="24"/>
          <w:lang w:eastAsia="sr-Latn-RS"/>
        </w:rPr>
        <w:t xml:space="preserve">Član 10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Visina naknade za produženje dozvole za obavljanje delatnosti prometa i dozvole za korišćenje naročito opasnih hemikalija iznosi 80% od naknade propisane u čl. 7, 8. i 9. ove odluke. </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11" w:name="clan_11"/>
      <w:bookmarkEnd w:id="11"/>
      <w:r w:rsidRPr="00512B4D">
        <w:rPr>
          <w:rFonts w:ascii="Arial" w:eastAsia="Times New Roman" w:hAnsi="Arial" w:cs="Arial"/>
          <w:b/>
          <w:bCs/>
          <w:sz w:val="24"/>
          <w:szCs w:val="24"/>
          <w:lang w:eastAsia="sr-Latn-RS"/>
        </w:rPr>
        <w:t xml:space="preserve">Član 11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Visina naknade za procenu podataka sadržanih u tehničkom dosijeu o surfaktantu koji ne ispunjava kriterijume potpune aerobne biorazgradljivosti iznosi 400.000 dinara. </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12" w:name="clan_12"/>
      <w:bookmarkEnd w:id="12"/>
      <w:r w:rsidRPr="00512B4D">
        <w:rPr>
          <w:rFonts w:ascii="Arial" w:eastAsia="Times New Roman" w:hAnsi="Arial" w:cs="Arial"/>
          <w:b/>
          <w:bCs/>
          <w:sz w:val="24"/>
          <w:szCs w:val="24"/>
          <w:lang w:eastAsia="sr-Latn-RS"/>
        </w:rPr>
        <w:t xml:space="preserve">Član 12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Visina naknade za davanje stručne ocene o svojstvima i nameni određenih hemikalija u vezi sa primenom ograničenja i zabrana proizvodnje, stavljanja u promet i korišćenja hemikalija, kao i za utvrđivanje, na osnovu procene svojstava, namene i korišćenja da li je određena hemikalija detergent i slično iznosi 5.000 dinara. </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bookmarkStart w:id="13" w:name="clan_13"/>
      <w:bookmarkEnd w:id="13"/>
      <w:r w:rsidRPr="00512B4D">
        <w:rPr>
          <w:rFonts w:ascii="Arial" w:eastAsia="Times New Roman" w:hAnsi="Arial" w:cs="Arial"/>
          <w:b/>
          <w:bCs/>
          <w:sz w:val="24"/>
          <w:szCs w:val="24"/>
          <w:lang w:eastAsia="sr-Latn-RS"/>
        </w:rPr>
        <w:t xml:space="preserve">Član 13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Ova odluka, po dobijanju saglasnosti Vlade, objavljuje se u "Službenom glasniku Republike Srbije" i stupa na snagu osmog dana od dana objavljivanja. </w:t>
      </w:r>
    </w:p>
    <w:p w:rsidR="00512B4D" w:rsidRPr="00512B4D" w:rsidRDefault="00512B4D" w:rsidP="00512B4D">
      <w:pPr>
        <w:spacing w:before="100" w:beforeAutospacing="1" w:after="100" w:afterAutospacing="1" w:line="240" w:lineRule="auto"/>
        <w:jc w:val="center"/>
        <w:rPr>
          <w:rFonts w:ascii="Arial" w:eastAsia="Times New Roman" w:hAnsi="Arial" w:cs="Arial"/>
          <w:b/>
          <w:bCs/>
          <w:i/>
          <w:iCs/>
          <w:sz w:val="24"/>
          <w:szCs w:val="24"/>
          <w:lang w:eastAsia="sr-Latn-RS"/>
        </w:rPr>
      </w:pPr>
      <w:r w:rsidRPr="00512B4D">
        <w:rPr>
          <w:rFonts w:ascii="Arial" w:eastAsia="Times New Roman" w:hAnsi="Arial" w:cs="Arial"/>
          <w:b/>
          <w:bCs/>
          <w:i/>
          <w:iCs/>
          <w:sz w:val="24"/>
          <w:szCs w:val="24"/>
          <w:lang w:eastAsia="sr-Latn-RS"/>
        </w:rPr>
        <w:t xml:space="preserve">Samostalni članovi Odluke o izmeni i dopuni </w:t>
      </w:r>
      <w:r w:rsidRPr="00512B4D">
        <w:rPr>
          <w:rFonts w:ascii="Arial" w:eastAsia="Times New Roman" w:hAnsi="Arial" w:cs="Arial"/>
          <w:b/>
          <w:bCs/>
          <w:i/>
          <w:iCs/>
          <w:sz w:val="24"/>
          <w:szCs w:val="24"/>
          <w:lang w:eastAsia="sr-Latn-RS"/>
        </w:rPr>
        <w:br/>
        <w:t>Odluke o kriterijumima, visini, načinu obračuna i plaćanja naknade za proveru podataka iz dosijea o hemikaliji, kao i o visini drugih naknada utvrđenih Zakonom o hemikalijama</w:t>
      </w:r>
    </w:p>
    <w:p w:rsidR="00512B4D" w:rsidRPr="00512B4D" w:rsidRDefault="00512B4D" w:rsidP="00512B4D">
      <w:pPr>
        <w:spacing w:before="100" w:beforeAutospacing="1" w:after="100" w:afterAutospacing="1" w:line="240" w:lineRule="auto"/>
        <w:jc w:val="center"/>
        <w:rPr>
          <w:rFonts w:ascii="Arial" w:eastAsia="Times New Roman" w:hAnsi="Arial" w:cs="Arial"/>
          <w:i/>
          <w:iCs/>
          <w:lang w:eastAsia="sr-Latn-RS"/>
        </w:rPr>
      </w:pPr>
      <w:r w:rsidRPr="00512B4D">
        <w:rPr>
          <w:rFonts w:ascii="Arial" w:eastAsia="Times New Roman" w:hAnsi="Arial" w:cs="Arial"/>
          <w:i/>
          <w:iCs/>
          <w:lang w:eastAsia="sr-Latn-RS"/>
        </w:rPr>
        <w:t>("Sl. glasnik RS", br. 25/2011)</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r w:rsidRPr="00512B4D">
        <w:rPr>
          <w:rFonts w:ascii="Arial" w:eastAsia="Times New Roman" w:hAnsi="Arial" w:cs="Arial"/>
          <w:b/>
          <w:bCs/>
          <w:sz w:val="24"/>
          <w:szCs w:val="24"/>
          <w:lang w:eastAsia="sr-Latn-RS"/>
        </w:rPr>
        <w:t>Član 3</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Naknada za proveru podataka iz dosijea o hemikaliji u 2011. godini plaća se u visini od 50% od iznosa naknade obračunate u skladu sa članom 2. Odluke o kriterijumima, visini, načinu obračuna i plaćanja naknade za proveru podataka iz dosijea o hemikaliji, kao i o visini drugih naknada utvrđenih Zakonom o hemikalijama.</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r w:rsidRPr="00512B4D">
        <w:rPr>
          <w:rFonts w:ascii="Arial" w:eastAsia="Times New Roman" w:hAnsi="Arial" w:cs="Arial"/>
          <w:b/>
          <w:bCs/>
          <w:sz w:val="24"/>
          <w:szCs w:val="24"/>
          <w:lang w:eastAsia="sr-Latn-RS"/>
        </w:rPr>
        <w:lastRenderedPageBreak/>
        <w:t>Član 4</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Ova odluka, po dobijanju saglasnosti Vlade, objavljuje se u "Službenom glasniku Republike Srbije" i stupa na snagu narednog dana od dana objavljivanja. </w:t>
      </w:r>
    </w:p>
    <w:p w:rsidR="00512B4D" w:rsidRPr="00512B4D" w:rsidRDefault="00512B4D" w:rsidP="00512B4D">
      <w:pPr>
        <w:spacing w:before="100" w:beforeAutospacing="1" w:after="100" w:afterAutospacing="1" w:line="240" w:lineRule="auto"/>
        <w:jc w:val="center"/>
        <w:rPr>
          <w:rFonts w:ascii="Arial" w:eastAsia="Times New Roman" w:hAnsi="Arial" w:cs="Arial"/>
          <w:b/>
          <w:bCs/>
          <w:i/>
          <w:iCs/>
          <w:sz w:val="24"/>
          <w:szCs w:val="24"/>
          <w:lang w:eastAsia="sr-Latn-RS"/>
        </w:rPr>
      </w:pPr>
      <w:r w:rsidRPr="00512B4D">
        <w:rPr>
          <w:rFonts w:ascii="Arial" w:eastAsia="Times New Roman" w:hAnsi="Arial" w:cs="Arial"/>
          <w:b/>
          <w:bCs/>
          <w:i/>
          <w:iCs/>
          <w:sz w:val="24"/>
          <w:szCs w:val="24"/>
          <w:lang w:eastAsia="sr-Latn-RS"/>
        </w:rPr>
        <w:t xml:space="preserve">Samostalni član Odluke o izmeni i dopuni </w:t>
      </w:r>
      <w:r w:rsidRPr="00512B4D">
        <w:rPr>
          <w:rFonts w:ascii="Arial" w:eastAsia="Times New Roman" w:hAnsi="Arial" w:cs="Arial"/>
          <w:b/>
          <w:bCs/>
          <w:i/>
          <w:iCs/>
          <w:sz w:val="24"/>
          <w:szCs w:val="24"/>
          <w:lang w:eastAsia="sr-Latn-RS"/>
        </w:rPr>
        <w:br/>
        <w:t>Odluke o kriterijumima, visini, načinu obračuna i plaćanja naknade za proveru podataka iz dosijea o hemikaliji, kao i o visini drugih naknada utvrđenih Zakonom o hemikalijama</w:t>
      </w:r>
    </w:p>
    <w:p w:rsidR="00512B4D" w:rsidRPr="00512B4D" w:rsidRDefault="00512B4D" w:rsidP="00512B4D">
      <w:pPr>
        <w:spacing w:before="100" w:beforeAutospacing="1" w:after="100" w:afterAutospacing="1" w:line="240" w:lineRule="auto"/>
        <w:jc w:val="center"/>
        <w:rPr>
          <w:rFonts w:ascii="Arial" w:eastAsia="Times New Roman" w:hAnsi="Arial" w:cs="Arial"/>
          <w:i/>
          <w:iCs/>
          <w:lang w:eastAsia="sr-Latn-RS"/>
        </w:rPr>
      </w:pPr>
      <w:r w:rsidRPr="00512B4D">
        <w:rPr>
          <w:rFonts w:ascii="Arial" w:eastAsia="Times New Roman" w:hAnsi="Arial" w:cs="Arial"/>
          <w:i/>
          <w:iCs/>
          <w:lang w:eastAsia="sr-Latn-RS"/>
        </w:rPr>
        <w:t>("Sl. glasnik RS", br. 55/2011)</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r w:rsidRPr="00512B4D">
        <w:rPr>
          <w:rFonts w:ascii="Arial" w:eastAsia="Times New Roman" w:hAnsi="Arial" w:cs="Arial"/>
          <w:b/>
          <w:bCs/>
          <w:sz w:val="24"/>
          <w:szCs w:val="24"/>
          <w:lang w:eastAsia="sr-Latn-RS"/>
        </w:rPr>
        <w:t xml:space="preserve">Član 2 </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Ova odluka, po dobijanju saglasnosti Vlade, objavljuje se u "Službenom glasniku Republike Srbije" i stupa na snagu osmog dana od dana objavljivanja.</w:t>
      </w:r>
    </w:p>
    <w:p w:rsidR="00512B4D" w:rsidRPr="00512B4D" w:rsidRDefault="00512B4D" w:rsidP="00512B4D">
      <w:pPr>
        <w:spacing w:before="100" w:beforeAutospacing="1" w:after="100" w:afterAutospacing="1" w:line="240" w:lineRule="auto"/>
        <w:jc w:val="center"/>
        <w:rPr>
          <w:rFonts w:ascii="Arial" w:eastAsia="Times New Roman" w:hAnsi="Arial" w:cs="Arial"/>
          <w:b/>
          <w:bCs/>
          <w:i/>
          <w:iCs/>
          <w:sz w:val="24"/>
          <w:szCs w:val="24"/>
          <w:lang w:eastAsia="sr-Latn-RS"/>
        </w:rPr>
      </w:pPr>
      <w:r w:rsidRPr="00512B4D">
        <w:rPr>
          <w:rFonts w:ascii="Arial" w:eastAsia="Times New Roman" w:hAnsi="Arial" w:cs="Arial"/>
          <w:b/>
          <w:bCs/>
          <w:i/>
          <w:iCs/>
          <w:sz w:val="24"/>
          <w:szCs w:val="24"/>
          <w:lang w:eastAsia="sr-Latn-RS"/>
        </w:rPr>
        <w:t>Samostalni članovi Odluke o izmenama i dopuni</w:t>
      </w:r>
      <w:r w:rsidRPr="00512B4D">
        <w:rPr>
          <w:rFonts w:ascii="Arial" w:eastAsia="Times New Roman" w:hAnsi="Arial" w:cs="Arial"/>
          <w:b/>
          <w:bCs/>
          <w:i/>
          <w:iCs/>
          <w:sz w:val="24"/>
          <w:szCs w:val="24"/>
          <w:lang w:eastAsia="sr-Latn-RS"/>
        </w:rPr>
        <w:br/>
        <w:t>Odluke o kriterijumima, visini, načinu obračuna i plaćanja naknade za proveru podataka iz dosijea o hemikaliji, kao i o visini drugih naknada utvrđenih Zakonom o hemikalijama</w:t>
      </w:r>
    </w:p>
    <w:p w:rsidR="00512B4D" w:rsidRPr="00512B4D" w:rsidRDefault="00512B4D" w:rsidP="00512B4D">
      <w:pPr>
        <w:spacing w:before="100" w:beforeAutospacing="1" w:after="100" w:afterAutospacing="1" w:line="240" w:lineRule="auto"/>
        <w:jc w:val="center"/>
        <w:rPr>
          <w:rFonts w:ascii="Arial" w:eastAsia="Times New Roman" w:hAnsi="Arial" w:cs="Arial"/>
          <w:i/>
          <w:iCs/>
          <w:lang w:eastAsia="sr-Latn-RS"/>
        </w:rPr>
      </w:pPr>
      <w:r w:rsidRPr="00512B4D">
        <w:rPr>
          <w:rFonts w:ascii="Arial" w:eastAsia="Times New Roman" w:hAnsi="Arial" w:cs="Arial"/>
          <w:i/>
          <w:iCs/>
          <w:lang w:eastAsia="sr-Latn-RS"/>
        </w:rPr>
        <w:t>("Sl. glasnik RS", br. 5/2012)</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r w:rsidRPr="00512B4D">
        <w:rPr>
          <w:rFonts w:ascii="Arial" w:eastAsia="Times New Roman" w:hAnsi="Arial" w:cs="Arial"/>
          <w:b/>
          <w:bCs/>
          <w:sz w:val="24"/>
          <w:szCs w:val="24"/>
          <w:lang w:eastAsia="sr-Latn-RS"/>
        </w:rPr>
        <w:t>Član 3</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Naknada za proveru podataka iz dosijea o hemikaliji u 2012. godini plaća se u visini od 50% od iznosa naknade obračunate u skladu sa članom 2. Odluke o kriterijumima, visini, načinu obračuna i plaćanja naknade za proveru podataka iz dosijea o hemikaliji, kao i o visini drugih naknada utvrđenih Zakonom o hemikalijama.</w:t>
      </w:r>
    </w:p>
    <w:p w:rsidR="00512B4D" w:rsidRPr="00512B4D" w:rsidRDefault="00512B4D" w:rsidP="00512B4D">
      <w:pPr>
        <w:spacing w:before="240" w:after="120" w:line="240" w:lineRule="auto"/>
        <w:jc w:val="center"/>
        <w:rPr>
          <w:rFonts w:ascii="Arial" w:eastAsia="Times New Roman" w:hAnsi="Arial" w:cs="Arial"/>
          <w:b/>
          <w:bCs/>
          <w:sz w:val="24"/>
          <w:szCs w:val="24"/>
          <w:lang w:eastAsia="sr-Latn-RS"/>
        </w:rPr>
      </w:pPr>
      <w:r w:rsidRPr="00512B4D">
        <w:rPr>
          <w:rFonts w:ascii="Arial" w:eastAsia="Times New Roman" w:hAnsi="Arial" w:cs="Arial"/>
          <w:b/>
          <w:bCs/>
          <w:sz w:val="24"/>
          <w:szCs w:val="24"/>
          <w:lang w:eastAsia="sr-Latn-RS"/>
        </w:rPr>
        <w:t>Član 4</w:t>
      </w:r>
    </w:p>
    <w:p w:rsidR="00512B4D" w:rsidRPr="00512B4D" w:rsidRDefault="00512B4D" w:rsidP="00512B4D">
      <w:pPr>
        <w:spacing w:before="100" w:beforeAutospacing="1" w:after="100" w:afterAutospacing="1" w:line="240" w:lineRule="auto"/>
        <w:rPr>
          <w:rFonts w:ascii="Arial" w:eastAsia="Times New Roman" w:hAnsi="Arial" w:cs="Arial"/>
          <w:lang w:eastAsia="sr-Latn-RS"/>
        </w:rPr>
      </w:pPr>
      <w:r w:rsidRPr="00512B4D">
        <w:rPr>
          <w:rFonts w:ascii="Arial" w:eastAsia="Times New Roman" w:hAnsi="Arial" w:cs="Arial"/>
          <w:lang w:eastAsia="sr-Latn-RS"/>
        </w:rPr>
        <w:t xml:space="preserve">Ova odluka, po dobijanju saglasnosti Vlade, objavljuje se u "Službenom glasniku Republike Srbije" i stupa na snagu narednog dana od dana objavljivanja, a odredba člana 1. ove odluke primenjivaće se na obračun visine naknade za proveru podataka iz dosijea o hemikaliji dostavljenog nakon stupanja na snagu ove odluke. </w:t>
      </w:r>
    </w:p>
    <w:p w:rsidR="005658C5" w:rsidRDefault="005658C5"/>
    <w:sectPr w:rsidR="005658C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B4D"/>
    <w:rsid w:val="00512B4D"/>
    <w:rsid w:val="005658C5"/>
    <w:rsid w:val="006D162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512B4D"/>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512B4D"/>
    <w:rPr>
      <w:rFonts w:ascii="Times New Roman" w:eastAsia="Times New Roman" w:hAnsi="Times New Roman" w:cs="Times New Roman"/>
      <w:b/>
      <w:bCs/>
      <w:sz w:val="24"/>
      <w:szCs w:val="24"/>
      <w:lang w:eastAsia="sr-Latn-RS"/>
    </w:rPr>
  </w:style>
  <w:style w:type="paragraph" w:customStyle="1" w:styleId="clan">
    <w:name w:val="clan"/>
    <w:basedOn w:val="Normal"/>
    <w:rsid w:val="00512B4D"/>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512B4D"/>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512B4D"/>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512B4D"/>
    <w:pPr>
      <w:spacing w:before="100" w:beforeAutospacing="1" w:after="100" w:afterAutospacing="1" w:line="240" w:lineRule="auto"/>
      <w:jc w:val="center"/>
    </w:pPr>
    <w:rPr>
      <w:rFonts w:ascii="Arial" w:eastAsia="Times New Roman" w:hAnsi="Arial" w:cs="Arial"/>
      <w:i/>
      <w:iCs/>
      <w:lang w:eastAsia="sr-Latn-RS"/>
    </w:rPr>
  </w:style>
  <w:style w:type="paragraph" w:customStyle="1" w:styleId="podnaslovpropisa">
    <w:name w:val="podnaslovpropisa"/>
    <w:basedOn w:val="Normal"/>
    <w:rsid w:val="00512B4D"/>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512B4D"/>
    <w:pPr>
      <w:spacing w:before="100" w:beforeAutospacing="1" w:after="100" w:afterAutospacing="1" w:line="240" w:lineRule="auto"/>
      <w:jc w:val="center"/>
    </w:pPr>
    <w:rPr>
      <w:rFonts w:ascii="Arial" w:eastAsia="Times New Roman" w:hAnsi="Arial" w:cs="Arial"/>
      <w:lang w:eastAsia="sr-Latn-RS"/>
    </w:rPr>
  </w:style>
  <w:style w:type="character" w:customStyle="1" w:styleId="stepen1">
    <w:name w:val="stepen1"/>
    <w:basedOn w:val="Podrazumevanifontpasusa"/>
    <w:rsid w:val="00512B4D"/>
    <w:rPr>
      <w:sz w:val="15"/>
      <w:szCs w:val="15"/>
      <w:vertAlign w:val="superscript"/>
    </w:rPr>
  </w:style>
  <w:style w:type="paragraph" w:styleId="Naslov">
    <w:name w:val="Title"/>
    <w:basedOn w:val="Normal"/>
    <w:next w:val="Normal"/>
    <w:link w:val="NaslovChar"/>
    <w:uiPriority w:val="10"/>
    <w:qFormat/>
    <w:rsid w:val="006D162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6D162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6D162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6D1625"/>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512B4D"/>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512B4D"/>
    <w:rPr>
      <w:rFonts w:ascii="Times New Roman" w:eastAsia="Times New Roman" w:hAnsi="Times New Roman" w:cs="Times New Roman"/>
      <w:b/>
      <w:bCs/>
      <w:sz w:val="24"/>
      <w:szCs w:val="24"/>
      <w:lang w:eastAsia="sr-Latn-RS"/>
    </w:rPr>
  </w:style>
  <w:style w:type="paragraph" w:customStyle="1" w:styleId="clan">
    <w:name w:val="clan"/>
    <w:basedOn w:val="Normal"/>
    <w:rsid w:val="00512B4D"/>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512B4D"/>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512B4D"/>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512B4D"/>
    <w:pPr>
      <w:spacing w:before="100" w:beforeAutospacing="1" w:after="100" w:afterAutospacing="1" w:line="240" w:lineRule="auto"/>
      <w:jc w:val="center"/>
    </w:pPr>
    <w:rPr>
      <w:rFonts w:ascii="Arial" w:eastAsia="Times New Roman" w:hAnsi="Arial" w:cs="Arial"/>
      <w:i/>
      <w:iCs/>
      <w:lang w:eastAsia="sr-Latn-RS"/>
    </w:rPr>
  </w:style>
  <w:style w:type="paragraph" w:customStyle="1" w:styleId="podnaslovpropisa">
    <w:name w:val="podnaslovpropisa"/>
    <w:basedOn w:val="Normal"/>
    <w:rsid w:val="00512B4D"/>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512B4D"/>
    <w:pPr>
      <w:spacing w:before="100" w:beforeAutospacing="1" w:after="100" w:afterAutospacing="1" w:line="240" w:lineRule="auto"/>
      <w:jc w:val="center"/>
    </w:pPr>
    <w:rPr>
      <w:rFonts w:ascii="Arial" w:eastAsia="Times New Roman" w:hAnsi="Arial" w:cs="Arial"/>
      <w:lang w:eastAsia="sr-Latn-RS"/>
    </w:rPr>
  </w:style>
  <w:style w:type="character" w:customStyle="1" w:styleId="stepen1">
    <w:name w:val="stepen1"/>
    <w:basedOn w:val="Podrazumevanifontpasusa"/>
    <w:rsid w:val="00512B4D"/>
    <w:rPr>
      <w:sz w:val="15"/>
      <w:szCs w:val="15"/>
      <w:vertAlign w:val="superscript"/>
    </w:rPr>
  </w:style>
  <w:style w:type="paragraph" w:styleId="Naslov">
    <w:name w:val="Title"/>
    <w:basedOn w:val="Normal"/>
    <w:next w:val="Normal"/>
    <w:link w:val="NaslovChar"/>
    <w:uiPriority w:val="10"/>
    <w:qFormat/>
    <w:rsid w:val="006D162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6D162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6D162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6D1625"/>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84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1316</Words>
  <Characters>7506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2015-07-07T12:20:00Z</dcterms:created>
  <dcterms:modified xsi:type="dcterms:W3CDTF">2018-09-06T12:16:00Z</dcterms:modified>
</cp:coreProperties>
</file>