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F4" w:rsidRPr="00E523F4" w:rsidRDefault="00E523F4" w:rsidP="00E523F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E523F4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E523F4" w:rsidRPr="00E523F4" w:rsidRDefault="00E523F4" w:rsidP="00E523F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523F4">
        <w:rPr>
          <w:rFonts w:asciiTheme="majorHAnsi" w:hAnsiTheme="majorHAnsi" w:cstheme="majorBidi"/>
          <w:color w:val="17365D" w:themeColor="text2" w:themeShade="BF"/>
          <w:lang w:eastAsia="sr-Latn-RS"/>
        </w:rPr>
        <w:t>O LISTI POPs MATERIJA, NAČINU I POSTUPKU ZA UPRAVLJANJE POPs OTPADOM I GRANIČNIM VREDNOSTIMA KONCENTRACIJA POPs MATERIJA KOJE SE ODNOSE NA ODLAGANJE OTPADA KOJI SADRŽI ILI JE KONTAMINIRAN POPs MATERIJAMA</w:t>
      </w:r>
    </w:p>
    <w:p w:rsidR="00E523F4" w:rsidRPr="00E523F4" w:rsidRDefault="00E523F4" w:rsidP="00E523F4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523F4">
        <w:rPr>
          <w:rFonts w:asciiTheme="majorHAnsi" w:hAnsiTheme="majorHAnsi" w:cstheme="majorBidi"/>
          <w:color w:val="4F81BD" w:themeColor="accent1"/>
          <w:lang w:eastAsia="sr-Latn-RS"/>
        </w:rPr>
        <w:t>("Sl. glasnik RS", br. 65/2011)</w:t>
      </w:r>
      <w:bookmarkStart w:id="1" w:name="_GoBack"/>
      <w:bookmarkEnd w:id="1"/>
    </w:p>
    <w:p w:rsidR="00E523F4" w:rsidRDefault="00E523F4" w:rsidP="00E523F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E625A7" w:rsidRPr="00E625A7" w:rsidRDefault="00E625A7" w:rsidP="00E523F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625A7">
        <w:rPr>
          <w:rFonts w:ascii="Arial" w:eastAsia="Times New Roman" w:hAnsi="Arial" w:cs="Arial"/>
          <w:b/>
          <w:bCs/>
          <w:sz w:val="24"/>
          <w:szCs w:val="24"/>
        </w:rPr>
        <w:t xml:space="preserve">Član 1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Ovim pravilnikom propisuje se: lista POPs materija, način i postupak za upravljanje POPs otpadom i granične vrednosti koncentracija POPs materija koje se odnose </w:t>
      </w:r>
      <w:proofErr w:type="gramStart"/>
      <w:r w:rsidRPr="00E625A7">
        <w:rPr>
          <w:rFonts w:ascii="Arial" w:eastAsia="Times New Roman" w:hAnsi="Arial" w:cs="Arial"/>
        </w:rPr>
        <w:t>na</w:t>
      </w:r>
      <w:proofErr w:type="gramEnd"/>
      <w:r w:rsidRPr="00E625A7">
        <w:rPr>
          <w:rFonts w:ascii="Arial" w:eastAsia="Times New Roman" w:hAnsi="Arial" w:cs="Arial"/>
        </w:rPr>
        <w:t xml:space="preserve"> odlaganje otpada koji sadrži ili je kontaminiran POPs materijama.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2"/>
      <w:bookmarkEnd w:id="2"/>
      <w:r w:rsidRPr="00E625A7">
        <w:rPr>
          <w:rFonts w:ascii="Arial" w:eastAsia="Times New Roman" w:hAnsi="Arial" w:cs="Arial"/>
          <w:b/>
          <w:bCs/>
          <w:sz w:val="24"/>
          <w:szCs w:val="24"/>
        </w:rPr>
        <w:t xml:space="preserve">Član 2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Odredbe ovog pravilnika primenjuju se </w:t>
      </w:r>
      <w:proofErr w:type="gramStart"/>
      <w:r w:rsidRPr="00E625A7">
        <w:rPr>
          <w:rFonts w:ascii="Arial" w:eastAsia="Times New Roman" w:hAnsi="Arial" w:cs="Arial"/>
        </w:rPr>
        <w:t>na</w:t>
      </w:r>
      <w:proofErr w:type="gramEnd"/>
      <w:r w:rsidRPr="00E625A7">
        <w:rPr>
          <w:rFonts w:ascii="Arial" w:eastAsia="Times New Roman" w:hAnsi="Arial" w:cs="Arial"/>
        </w:rPr>
        <w:t xml:space="preserve"> otpad koji sadrži, sastoji se ili je kontaminiran POPs materijama (u daljem tekstu: POPs otpad), i to: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1) </w:t>
      </w:r>
      <w:proofErr w:type="gramStart"/>
      <w:r w:rsidRPr="00E625A7">
        <w:rPr>
          <w:rFonts w:ascii="Arial" w:eastAsia="Times New Roman" w:hAnsi="Arial" w:cs="Arial"/>
        </w:rPr>
        <w:t>otpadnu</w:t>
      </w:r>
      <w:proofErr w:type="gramEnd"/>
      <w:r w:rsidRPr="00E625A7">
        <w:rPr>
          <w:rFonts w:ascii="Arial" w:eastAsia="Times New Roman" w:hAnsi="Arial" w:cs="Arial"/>
        </w:rPr>
        <w:t xml:space="preserve"> električnu i elektronsku opremu koja sadrži PCB, uključujući i otpad koji nastaje prilikom rasklapanja električne i elektronske opreme koji sadrži POPs materije i otpadna ulja koja sadrže PCB;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2) </w:t>
      </w:r>
      <w:proofErr w:type="gramStart"/>
      <w:r w:rsidRPr="00E625A7">
        <w:rPr>
          <w:rFonts w:ascii="Arial" w:eastAsia="Times New Roman" w:hAnsi="Arial" w:cs="Arial"/>
        </w:rPr>
        <w:t>građevinski</w:t>
      </w:r>
      <w:proofErr w:type="gramEnd"/>
      <w:r w:rsidRPr="00E625A7">
        <w:rPr>
          <w:rFonts w:ascii="Arial" w:eastAsia="Times New Roman" w:hAnsi="Arial" w:cs="Arial"/>
        </w:rPr>
        <w:t xml:space="preserve"> otpad i otpad od rušenja koji sadrži PCB, uključujući i iskopan materijal kontaminiran sa PCB;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3) </w:t>
      </w:r>
      <w:proofErr w:type="gramStart"/>
      <w:r w:rsidRPr="00E625A7">
        <w:rPr>
          <w:rFonts w:ascii="Arial" w:eastAsia="Times New Roman" w:hAnsi="Arial" w:cs="Arial"/>
        </w:rPr>
        <w:t>otpadne</w:t>
      </w:r>
      <w:proofErr w:type="gramEnd"/>
      <w:r w:rsidRPr="00E625A7">
        <w:rPr>
          <w:rFonts w:ascii="Arial" w:eastAsia="Times New Roman" w:hAnsi="Arial" w:cs="Arial"/>
        </w:rPr>
        <w:t xml:space="preserve"> POPs pesticide;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4) </w:t>
      </w:r>
      <w:proofErr w:type="gramStart"/>
      <w:r w:rsidRPr="00E625A7">
        <w:rPr>
          <w:rFonts w:ascii="Arial" w:eastAsia="Times New Roman" w:hAnsi="Arial" w:cs="Arial"/>
        </w:rPr>
        <w:t>zalihe</w:t>
      </w:r>
      <w:proofErr w:type="gramEnd"/>
      <w:r w:rsidRPr="00E625A7">
        <w:rPr>
          <w:rFonts w:ascii="Arial" w:eastAsia="Times New Roman" w:hAnsi="Arial" w:cs="Arial"/>
        </w:rPr>
        <w:t xml:space="preserve"> PFOS i PBDE i otpad kontaminiran sa PFOS i PBDE;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5) </w:t>
      </w:r>
      <w:proofErr w:type="gramStart"/>
      <w:r w:rsidRPr="00E625A7">
        <w:rPr>
          <w:rFonts w:ascii="Arial" w:eastAsia="Times New Roman" w:hAnsi="Arial" w:cs="Arial"/>
        </w:rPr>
        <w:t>otpad</w:t>
      </w:r>
      <w:proofErr w:type="gramEnd"/>
      <w:r w:rsidRPr="00E625A7">
        <w:rPr>
          <w:rFonts w:ascii="Arial" w:eastAsia="Times New Roman" w:hAnsi="Arial" w:cs="Arial"/>
        </w:rPr>
        <w:t xml:space="preserve"> kontaminiran nenamerno proizvedenim POPs materijama.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clan_3"/>
      <w:bookmarkEnd w:id="3"/>
      <w:r w:rsidRPr="00E625A7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Član 3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Način upravljanja POPs otpadom mora biti takav da se: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1) </w:t>
      </w:r>
      <w:proofErr w:type="gramStart"/>
      <w:r w:rsidRPr="00E625A7">
        <w:rPr>
          <w:rFonts w:ascii="Arial" w:eastAsia="Times New Roman" w:hAnsi="Arial" w:cs="Arial"/>
        </w:rPr>
        <w:t>spreči</w:t>
      </w:r>
      <w:proofErr w:type="gramEnd"/>
      <w:r w:rsidRPr="00E625A7">
        <w:rPr>
          <w:rFonts w:ascii="Arial" w:eastAsia="Times New Roman" w:hAnsi="Arial" w:cs="Arial"/>
        </w:rPr>
        <w:t xml:space="preserve"> ispuštanje POPs materija u životnu sredinu i kontaminacija drugih otpada POPs materijama;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2) </w:t>
      </w:r>
      <w:proofErr w:type="gramStart"/>
      <w:r w:rsidRPr="00E625A7">
        <w:rPr>
          <w:rFonts w:ascii="Arial" w:eastAsia="Times New Roman" w:hAnsi="Arial" w:cs="Arial"/>
        </w:rPr>
        <w:t>pakovanje</w:t>
      </w:r>
      <w:proofErr w:type="gramEnd"/>
      <w:r w:rsidRPr="00E625A7">
        <w:rPr>
          <w:rFonts w:ascii="Arial" w:eastAsia="Times New Roman" w:hAnsi="Arial" w:cs="Arial"/>
        </w:rPr>
        <w:t xml:space="preserve"> POPs otpada obezbedi od curenja, oštećenja, rđe ili visoke temperature, odnosno vrši prepakivanje i ponovno označavanje po potrebi;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3) </w:t>
      </w:r>
      <w:proofErr w:type="gramStart"/>
      <w:r w:rsidRPr="00E625A7">
        <w:rPr>
          <w:rFonts w:ascii="Arial" w:eastAsia="Times New Roman" w:hAnsi="Arial" w:cs="Arial"/>
        </w:rPr>
        <w:t>preduzmu</w:t>
      </w:r>
      <w:proofErr w:type="gramEnd"/>
      <w:r w:rsidRPr="00E625A7">
        <w:rPr>
          <w:rFonts w:ascii="Arial" w:eastAsia="Times New Roman" w:hAnsi="Arial" w:cs="Arial"/>
        </w:rPr>
        <w:t xml:space="preserve"> adekvatne mere kako ne bi došlo do prosipanja POPs otpada;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4) </w:t>
      </w:r>
      <w:proofErr w:type="gramStart"/>
      <w:r w:rsidRPr="00E625A7">
        <w:rPr>
          <w:rFonts w:ascii="Arial" w:eastAsia="Times New Roman" w:hAnsi="Arial" w:cs="Arial"/>
        </w:rPr>
        <w:t>postave</w:t>
      </w:r>
      <w:proofErr w:type="gramEnd"/>
      <w:r w:rsidRPr="00E625A7">
        <w:rPr>
          <w:rFonts w:ascii="Arial" w:eastAsia="Times New Roman" w:hAnsi="Arial" w:cs="Arial"/>
        </w:rPr>
        <w:t xml:space="preserve"> zaštitne podloge ispod upakovanog otpada;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5) </w:t>
      </w:r>
      <w:proofErr w:type="gramStart"/>
      <w:r w:rsidRPr="00E625A7">
        <w:rPr>
          <w:rFonts w:ascii="Arial" w:eastAsia="Times New Roman" w:hAnsi="Arial" w:cs="Arial"/>
        </w:rPr>
        <w:t>uklanjanje</w:t>
      </w:r>
      <w:proofErr w:type="gramEnd"/>
      <w:r w:rsidRPr="00E625A7">
        <w:rPr>
          <w:rFonts w:ascii="Arial" w:eastAsia="Times New Roman" w:hAnsi="Arial" w:cs="Arial"/>
        </w:rPr>
        <w:t xml:space="preserve"> tečnog otpada vrši pumpama i pogodnim hemijski otpornim cevima, namenjenim samo za rukovanje sa POPs otpadom;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6) </w:t>
      </w:r>
      <w:proofErr w:type="gramStart"/>
      <w:r w:rsidRPr="00E625A7">
        <w:rPr>
          <w:rFonts w:ascii="Arial" w:eastAsia="Times New Roman" w:hAnsi="Arial" w:cs="Arial"/>
        </w:rPr>
        <w:t>čišćenje</w:t>
      </w:r>
      <w:proofErr w:type="gramEnd"/>
      <w:r w:rsidRPr="00E625A7">
        <w:rPr>
          <w:rFonts w:ascii="Arial" w:eastAsia="Times New Roman" w:hAnsi="Arial" w:cs="Arial"/>
        </w:rPr>
        <w:t xml:space="preserve"> kontaminiranih površina vrši trostrukim ispiranjem sa odgovarajućim organskim rastvaračem;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7) </w:t>
      </w:r>
      <w:proofErr w:type="gramStart"/>
      <w:r w:rsidRPr="00E625A7">
        <w:rPr>
          <w:rFonts w:ascii="Arial" w:eastAsia="Times New Roman" w:hAnsi="Arial" w:cs="Arial"/>
        </w:rPr>
        <w:t>se</w:t>
      </w:r>
      <w:proofErr w:type="gramEnd"/>
      <w:r w:rsidRPr="00E625A7">
        <w:rPr>
          <w:rFonts w:ascii="Arial" w:eastAsia="Times New Roman" w:hAnsi="Arial" w:cs="Arial"/>
        </w:rPr>
        <w:t xml:space="preserve"> vrši tretiranje svih apsorbenata i rastvarača iz ispiranja, upotrebljene jednokratne zaštitne odeće i plastične folije kada su kontaminirani POPs materijama.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E625A7">
        <w:rPr>
          <w:rFonts w:ascii="Arial" w:eastAsia="Times New Roman" w:hAnsi="Arial" w:cs="Arial"/>
        </w:rPr>
        <w:t>Pri upravljanju POPs otpadom preduzimaju se mere, potrebne za sprečavanje dalje kontaminacije POPs materijama.</w:t>
      </w:r>
      <w:proofErr w:type="gramEnd"/>
      <w:r w:rsidRPr="00E625A7">
        <w:rPr>
          <w:rFonts w:ascii="Arial" w:eastAsia="Times New Roman" w:hAnsi="Arial" w:cs="Arial"/>
        </w:rPr>
        <w:t xml:space="preserve">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 xml:space="preserve">Lista POPs materija i granične vrednosti koncentracija POPs materija koje se odnose </w:t>
      </w:r>
      <w:proofErr w:type="gramStart"/>
      <w:r w:rsidRPr="00E625A7">
        <w:rPr>
          <w:rFonts w:ascii="Arial" w:eastAsia="Times New Roman" w:hAnsi="Arial" w:cs="Arial"/>
        </w:rPr>
        <w:t>na</w:t>
      </w:r>
      <w:proofErr w:type="gramEnd"/>
      <w:r w:rsidRPr="00E625A7">
        <w:rPr>
          <w:rFonts w:ascii="Arial" w:eastAsia="Times New Roman" w:hAnsi="Arial" w:cs="Arial"/>
        </w:rPr>
        <w:t xml:space="preserve"> odlaganje POPs otpada data je u Prilogu 1. - Lista POPs materija i granične vrednosti koncentracija POPs materija koje se odnose </w:t>
      </w:r>
      <w:proofErr w:type="gramStart"/>
      <w:r w:rsidRPr="00E625A7">
        <w:rPr>
          <w:rFonts w:ascii="Arial" w:eastAsia="Times New Roman" w:hAnsi="Arial" w:cs="Arial"/>
        </w:rPr>
        <w:t>na</w:t>
      </w:r>
      <w:proofErr w:type="gramEnd"/>
      <w:r w:rsidRPr="00E625A7">
        <w:rPr>
          <w:rFonts w:ascii="Arial" w:eastAsia="Times New Roman" w:hAnsi="Arial" w:cs="Arial"/>
        </w:rPr>
        <w:t xml:space="preserve"> odlaganje otpada koji sadrži, ili je kontaminiran POPs materijama, koji je odštampan uz ovaj pravilnik i čini njegov sastavni deo.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4" w:name="clan_4"/>
      <w:bookmarkEnd w:id="4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t xml:space="preserve">Član 4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Sakupljanje POPs otpada vrši se tako da se: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1) odvojeno sakuplja od ostalih vrsta otpada;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2) obezbedi odgovarajuća pakovanja za transport, a posebno otpada koji zahteva da se prepakuje i da se transport odvija pod bezbednim uslovima;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3) obezbedi predaja otpada na skladištenje, odnosno tretman, u skladu sa zakonom kojim se uređuje upravljanje otpadom.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Sakupljanje POPs otpada iz stava 1. ovog člana vrši se prema operativnim programima i dinamici, odnosno odgovarajućim rokovima kojima se obezbeđuje prikupljanje svih vrsta POPs otpada.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sakupljen od proizvođača, odnosno vlasnika tog otpada transportuje se do centra za sakupljanje, skladištenje, transfer stanice ili postrojenja za tretman ili odlaganje otpada.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5" w:name="clan_5"/>
      <w:bookmarkEnd w:id="5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lastRenderedPageBreak/>
        <w:t xml:space="preserve">Član 5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Pakovanje POPs otpada vrši se za transport i za skladištenje.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treba da bude propisno upakovan za transport sa sigurnosnim merama za smanjenje rizika od curenja i prosipanja.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Pakovanje POPs otpada za transport može se koristiti i za njegovo skladištenje.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u u svom originalnom pakovanju bezbedan je za skladištenje, ako je pakovanje u dobrom stanju.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Uređaji van upotrebe koji sadrže ili su kontaminirani POPs materijama mogu se koristiti kao pakovanje za skladištenje.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Transformatori koji sadrže PCB prazne se od tečnosti, a sa kondenzatorima koji sadrže PCB postupa se kao sa upakovanim POPs otpadom.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Otpad kontaminiran POPs materijama može se smestiti u skladište, pri čemu podloga skladišta treba da bude takva da se mogu preduzeti mere zaštite, uključujući i mere sprečavanja izbijanja požara.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se pakuje i označava na propisan način u pogledu vrste i stanja POPs materija, kao i nivoa opasnosti, u skladu sa propisom kojim se uređuje pakovanje i označavanje opasnog otpada.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6" w:name="clan_6"/>
      <w:bookmarkEnd w:id="6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t xml:space="preserve">Član 6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Transport POPs otpada vrši se u skladu sa zakonom kojim se uređuje prevoz opasnih tereta i dozvolom za transport opasnog otpada, izdatom na osnovu zakona kojim se uređuje upravljanje otpadom.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Transport neopasnog otpada koji ima karakteristike POPs otpada obavlja se adekvatno opremljenim vozilima u skladu sa dozvolom za transport neopasnog otpada izdatom na osnovu zakona kojim se uređuje upravljanje otpadom, odnosno tako da se spreči rasipanje ili ispadanje otpada prilikom transporta, utovara i istovara, odnosno zagađenje vazduha, vode, zemljišta i životne sredine.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7" w:name="clan_7"/>
      <w:bookmarkEnd w:id="7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t xml:space="preserve">Član 7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Skladištenje POPs otpada vrši se u skladu sa zakonom kojim se uređuje upravljanje otpadom i propisom kojim se uređuje skladištenje opasnog otpada.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Skladište POPs otpada označava se kao mesto za skladištenje POPs otpada.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Prostor za skladištenje treba da bude projektovan, izgrađen i opremljen tako da se spreči emisija POPs materija u životnu sredinu.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lastRenderedPageBreak/>
        <w:t xml:space="preserve">Otpad kontaminiran POPs materijama nastalim prilikom dekontaminacije čuva se na nepropusnoj podlozi, pre konačnog odlaganja.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Tečni POPs otpad stavlja se u posude koje sprečavaju njegovo curenje u životnu sredinu.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u praškastom stanju čuva se u zatvorenom pakovanju.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u rasutom stanju skladišti se u posebnim kontejnerima za transport.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8" w:name="clan_8"/>
      <w:bookmarkEnd w:id="8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t xml:space="preserve">Član 8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otpad odlaže se ili ponovo iskorišćava tako da se osigura uništenje sadržaja POPs materija ili nepovratno transformiše, odnosno da preostali otpad i ispuštanja ne pokazuju karakteristike POPs materija.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Tretman, odnosno odlaganje POPs otpada vrši se propisanim postupcima ili metodama odlaganja u skladu sa propisom kojim se uređuju kategorije, ispitivanje i klasifikacija otpada (D lista - Operacije odlaganja i R lista - Operacije ponovnog iskorišćenja), i to: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1) D9 - fizičko hemijski tretman;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2) D10 - spaljivanje na zemlji;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3) R1 - korišćenje prvenstveno kao gorivo ili za proizvodnju energije, isključujući otpad koji sadrži PCB;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4) R3 - reciklaža/prerada organskih materija koje se ne koriste kao rastvarači, ograničena na otpad za konverziju gasa;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5) R4 - reciklaža/prerada metala i jedinjenja metala, ograničena na aktivnosti primarne i sekundarne metalurgije, kada su dostignute granične vrednosti emisije za nenamerno proizvedene POPs materije.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Izuzetno, POPs koji sadrži, sastoji se ili je kontaminiran bilo kojom POPs materijom iz Priloga 1. ovog pravilnika, može biti stabilizovan i odložen na deponiju opasnog otpada (D5 operacija) ili odložen u odgovarajućem podzemnom skladištu (D12 operacija), tako da obezbedi da se ne ispuštaju gasovi sa efektom staklene bašte i nenamerno proizvedene POPs materije, u skladu sa graničnim vrednostima koncentracija utvrđenim u Prilogu 2. - Lista otpada koji sadrži, sastoji se ili je kontaminiran POPs materijama za koji se može primeniti alternativno odlaganje, koji je odštampan uz ovaj pravilnik i čini njegov sastavni deo.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Pri odlaganju ili ponovnom iskorišćenju može se izolovati bilo koja POPs materija iz Priloga 1. ovog pravilnika.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POPs materije koje su izolovane iz otpada u skladu sa stavom 4. ovog člana naknadno se odlažu u skladu sa operacijama D9 i D10 iz stava 2. tač. 1) i 2) ovog člana.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9" w:name="clan_9"/>
      <w:bookmarkEnd w:id="9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t xml:space="preserve">Član 9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lastRenderedPageBreak/>
        <w:t xml:space="preserve">Lice koje vrši tretman ili odlaganje POPs otpada, u skladu sa zakonom, obezbeđuje da ostaci posle tretmana nemaju karakteristike POPs materija. </w:t>
      </w:r>
    </w:p>
    <w:p w:rsidR="00E625A7" w:rsidRPr="00E625A7" w:rsidRDefault="00E625A7" w:rsidP="00E625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de-DE"/>
        </w:rPr>
      </w:pPr>
      <w:bookmarkStart w:id="10" w:name="clan_10"/>
      <w:bookmarkEnd w:id="10"/>
      <w:r w:rsidRPr="00E625A7">
        <w:rPr>
          <w:rFonts w:ascii="Arial" w:eastAsia="Times New Roman" w:hAnsi="Arial" w:cs="Arial"/>
          <w:b/>
          <w:bCs/>
          <w:sz w:val="24"/>
          <w:szCs w:val="24"/>
          <w:lang w:val="de-DE"/>
        </w:rPr>
        <w:t xml:space="preserve">Član 10 </w:t>
      </w:r>
    </w:p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E625A7">
        <w:rPr>
          <w:rFonts w:ascii="Arial" w:eastAsia="Times New Roman" w:hAnsi="Arial" w:cs="Arial"/>
          <w:lang w:val="de-DE"/>
        </w:rPr>
        <w:t xml:space="preserve">Ovaj pravilnik stupa na snagu osmog dana od dana objavljivanja u "Službenom glasniku Republike Srbije". </w:t>
      </w:r>
    </w:p>
    <w:p w:rsidR="00E625A7" w:rsidRPr="00E625A7" w:rsidRDefault="00E625A7" w:rsidP="00E625A7">
      <w:pPr>
        <w:spacing w:after="0" w:line="240" w:lineRule="auto"/>
        <w:rPr>
          <w:rFonts w:ascii="Arial" w:eastAsia="Times New Roman" w:hAnsi="Arial" w:cs="Arial"/>
          <w:sz w:val="26"/>
          <w:szCs w:val="26"/>
          <w:lang w:val="de-DE"/>
        </w:rPr>
      </w:pPr>
      <w:r w:rsidRPr="00E625A7">
        <w:rPr>
          <w:rFonts w:ascii="Arial" w:eastAsia="Times New Roman" w:hAnsi="Arial" w:cs="Arial"/>
          <w:sz w:val="26"/>
          <w:szCs w:val="26"/>
          <w:lang w:val="de-DE"/>
        </w:rPr>
        <w:t xml:space="preserve">  </w:t>
      </w:r>
    </w:p>
    <w:p w:rsidR="00E625A7" w:rsidRPr="00E625A7" w:rsidRDefault="00E625A7" w:rsidP="00E625A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de-DE"/>
        </w:rPr>
      </w:pPr>
      <w:bookmarkStart w:id="11" w:name="str_1"/>
      <w:bookmarkEnd w:id="11"/>
      <w:r w:rsidRPr="00E625A7">
        <w:rPr>
          <w:rFonts w:ascii="Arial" w:eastAsia="Times New Roman" w:hAnsi="Arial" w:cs="Arial"/>
          <w:b/>
          <w:bCs/>
          <w:sz w:val="29"/>
          <w:szCs w:val="29"/>
          <w:lang w:val="de-DE"/>
        </w:rPr>
        <w:t xml:space="preserve">Prilog 1. </w:t>
      </w:r>
    </w:p>
    <w:p w:rsidR="00E625A7" w:rsidRPr="00E625A7" w:rsidRDefault="00E625A7" w:rsidP="00E625A7">
      <w:pPr>
        <w:spacing w:after="0" w:line="240" w:lineRule="auto"/>
        <w:rPr>
          <w:rFonts w:ascii="Arial" w:eastAsia="Times New Roman" w:hAnsi="Arial" w:cs="Arial"/>
          <w:sz w:val="26"/>
          <w:szCs w:val="26"/>
          <w:lang w:val="de-DE"/>
        </w:rPr>
      </w:pPr>
      <w:r w:rsidRPr="00E625A7">
        <w:rPr>
          <w:rFonts w:ascii="Arial" w:eastAsia="Times New Roman" w:hAnsi="Arial" w:cs="Arial"/>
          <w:sz w:val="26"/>
          <w:szCs w:val="26"/>
          <w:lang w:val="de-DE"/>
        </w:rPr>
        <w:t xml:space="preserve">  </w:t>
      </w:r>
    </w:p>
    <w:p w:rsidR="00E625A7" w:rsidRPr="00E625A7" w:rsidRDefault="00E625A7" w:rsidP="00E625A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de-DE"/>
        </w:rPr>
      </w:pPr>
      <w:bookmarkStart w:id="12" w:name="str_2"/>
      <w:bookmarkEnd w:id="12"/>
      <w:r w:rsidRPr="00E625A7">
        <w:rPr>
          <w:rFonts w:ascii="Arial" w:eastAsia="Times New Roman" w:hAnsi="Arial" w:cs="Arial"/>
          <w:b/>
          <w:bCs/>
          <w:sz w:val="29"/>
          <w:szCs w:val="29"/>
          <w:lang w:val="de-DE"/>
        </w:rPr>
        <w:t xml:space="preserve">LISTA POPs MATERIJA I GRANIČNE VREDNOSTI KONCENTRACIJA POPs MATERIJA KOJE SE ODNOSE NA ODLAGANJE OTPADA KOJI SADRŽI, SASTOJI SE ILI JE KONTAMINIRAN POPs MATERIJAMA (POPs OTPAD) </w:t>
      </w:r>
    </w:p>
    <w:p w:rsidR="00E625A7" w:rsidRPr="00E625A7" w:rsidRDefault="00E625A7" w:rsidP="00E625A7">
      <w:pPr>
        <w:spacing w:after="0" w:line="240" w:lineRule="auto"/>
        <w:rPr>
          <w:rFonts w:ascii="Arial" w:eastAsia="Times New Roman" w:hAnsi="Arial" w:cs="Arial"/>
          <w:sz w:val="26"/>
          <w:szCs w:val="26"/>
          <w:lang w:val="de-DE"/>
        </w:rPr>
      </w:pPr>
      <w:r w:rsidRPr="00E625A7">
        <w:rPr>
          <w:rFonts w:ascii="Arial" w:eastAsia="Times New Roman" w:hAnsi="Arial" w:cs="Arial"/>
          <w:sz w:val="26"/>
          <w:szCs w:val="26"/>
          <w:lang w:val="de-DE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7"/>
        <w:gridCol w:w="1748"/>
        <w:gridCol w:w="1063"/>
        <w:gridCol w:w="1357"/>
        <w:gridCol w:w="1825"/>
      </w:tblGrid>
      <w:tr w:rsidR="00E625A7" w:rsidRPr="00E625A7" w:rsidTr="00E625A7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Supstanca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CAS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EC broj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Granična</w:t>
            </w:r>
            <w:r w:rsidRPr="00E625A7">
              <w:rPr>
                <w:rFonts w:ascii="Arial" w:eastAsia="Times New Roman" w:hAnsi="Arial" w:cs="Arial"/>
              </w:rPr>
              <w:br/>
              <w:t>koncentracija POPs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Granična koncentracija za alternativno odlaganje</w:t>
            </w:r>
            <w:r w:rsidRPr="00E625A7">
              <w:rPr>
                <w:rFonts w:ascii="Arial" w:eastAsia="Times New Roman" w:hAnsi="Arial" w:cs="Arial"/>
              </w:rPr>
              <w:br/>
              <w:t>(D5 operacija)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Aldrin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309-00-2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206-215-8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Hlordan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57-74-9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200-349-0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Dieldrin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60-57-1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200-484-5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Endrin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72-20-8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200-775-7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Heptahlor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76-44-8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200-962-3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Heksahlorbenzen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118-74-1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200-273-9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Mireks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2385-85-5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219-196-6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Toksafen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8001-35-2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232-283-3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Polihlorovani bifenili (PCB)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1336-36-3 i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215-648-1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mg/kg*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DDT (1,1,1-trihlor-2,2-bis (4-hlorfenil) etan)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50-29-3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200-024-3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Hlordekon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143-50-0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205-601-3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Heksahlorcikloheksani, uključujući lindan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58-89-9,</w:t>
            </w:r>
            <w:r w:rsidRPr="00E625A7">
              <w:rPr>
                <w:rFonts w:ascii="Arial" w:eastAsia="Times New Roman" w:hAnsi="Arial" w:cs="Arial"/>
              </w:rPr>
              <w:br/>
              <w:t>319-84-6,</w:t>
            </w:r>
            <w:r w:rsidRPr="00E625A7">
              <w:rPr>
                <w:rFonts w:ascii="Arial" w:eastAsia="Times New Roman" w:hAnsi="Arial" w:cs="Arial"/>
              </w:rPr>
              <w:br/>
              <w:t>319-85-7,</w:t>
            </w:r>
            <w:r w:rsidRPr="00E625A7">
              <w:rPr>
                <w:rFonts w:ascii="Arial" w:eastAsia="Times New Roman" w:hAnsi="Arial" w:cs="Arial"/>
              </w:rPr>
              <w:br/>
              <w:t>608-73-1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210-168-9</w:t>
            </w:r>
            <w:r w:rsidRPr="00E625A7">
              <w:rPr>
                <w:rFonts w:ascii="Arial" w:eastAsia="Times New Roman" w:hAnsi="Arial" w:cs="Arial"/>
              </w:rPr>
              <w:br/>
              <w:t>200-401-2</w:t>
            </w:r>
            <w:r w:rsidRPr="00E625A7">
              <w:rPr>
                <w:rFonts w:ascii="Arial" w:eastAsia="Times New Roman" w:hAnsi="Arial" w:cs="Arial"/>
              </w:rPr>
              <w:br/>
              <w:t>206-270-8</w:t>
            </w:r>
            <w:r w:rsidRPr="00E625A7">
              <w:rPr>
                <w:rFonts w:ascii="Arial" w:eastAsia="Times New Roman" w:hAnsi="Arial" w:cs="Arial"/>
              </w:rPr>
              <w:br/>
              <w:t>206-271-3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Polihlorovani dibenzo-r-dioksini i dibenzofurani (PCDD/PCDF)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15 µg TE/kg (**)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 mg TE/kg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Heksabrombifenil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36355-01-8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252-994-2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50 mg/kg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5.000 mg/kg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Tetrabromdifenil etar 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6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4</w:t>
            </w:r>
            <w:r w:rsidRPr="00E625A7">
              <w:rPr>
                <w:rFonts w:ascii="Arial" w:eastAsia="Times New Roman" w:hAnsi="Arial" w:cs="Arial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Pentabromdifenil etar 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5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5</w:t>
            </w:r>
            <w:r w:rsidRPr="00E625A7">
              <w:rPr>
                <w:rFonts w:ascii="Arial" w:eastAsia="Times New Roman" w:hAnsi="Arial" w:cs="Arial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Heksabromdifenil etar 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4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6</w:t>
            </w:r>
            <w:r w:rsidRPr="00E625A7">
              <w:rPr>
                <w:rFonts w:ascii="Arial" w:eastAsia="Times New Roman" w:hAnsi="Arial" w:cs="Arial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Heptabromdifenil etar 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7</w:t>
            </w:r>
            <w:r w:rsidRPr="00E625A7">
              <w:rPr>
                <w:rFonts w:ascii="Arial" w:eastAsia="Times New Roman" w:hAnsi="Arial" w:cs="Arial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lastRenderedPageBreak/>
              <w:t>Perfluoroktan sulfonska kiselina i njeni derivati (PFOS) 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8</w:t>
            </w:r>
            <w:r w:rsidRPr="00E625A7">
              <w:rPr>
                <w:rFonts w:ascii="Arial" w:eastAsia="Times New Roman" w:hAnsi="Arial" w:cs="Arial"/>
              </w:rPr>
              <w:t>F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17</w:t>
            </w:r>
            <w:r w:rsidRPr="00E625A7">
              <w:rPr>
                <w:rFonts w:ascii="Arial" w:eastAsia="Times New Roman" w:hAnsi="Arial" w:cs="Arial"/>
              </w:rPr>
              <w:t>SO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E625A7">
              <w:rPr>
                <w:rFonts w:ascii="Arial" w:eastAsia="Times New Roman" w:hAnsi="Arial" w:cs="Arial"/>
              </w:rPr>
              <w:t>X</w:t>
            </w:r>
            <w:r w:rsidRPr="00E625A7">
              <w:rPr>
                <w:rFonts w:ascii="Arial" w:eastAsia="Times New Roman" w:hAnsi="Arial" w:cs="Arial"/>
              </w:rPr>
              <w:br/>
              <w:t xml:space="preserve">(X = OH, so metala (O-M+), halidi, amidi, i ostali derivati uključujući polimere)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Pentahlorbenzen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608-93-5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210-172-5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50 mg/kg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5.000 mg/kg </w:t>
            </w:r>
          </w:p>
        </w:tc>
      </w:tr>
    </w:tbl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>______________</w:t>
      </w:r>
      <w:proofErr w:type="gramStart"/>
      <w:r w:rsidRPr="00E625A7">
        <w:rPr>
          <w:rFonts w:ascii="Arial" w:eastAsia="Times New Roman" w:hAnsi="Arial" w:cs="Arial"/>
        </w:rPr>
        <w:t>_</w:t>
      </w:r>
      <w:proofErr w:type="gramEnd"/>
      <w:r w:rsidRPr="00E625A7">
        <w:rPr>
          <w:rFonts w:ascii="Arial" w:eastAsia="Times New Roman" w:hAnsi="Arial" w:cs="Arial"/>
        </w:rPr>
        <w:br/>
        <w:t xml:space="preserve">(*) </w:t>
      </w:r>
      <w:r w:rsidRPr="00E625A7">
        <w:rPr>
          <w:rFonts w:ascii="Arial" w:eastAsia="Times New Roman" w:hAnsi="Arial" w:cs="Arial"/>
          <w:i/>
          <w:iCs/>
        </w:rPr>
        <w:t>Primenjuje se metod izračunavanja sadržan u SRPS EN 12766-1: 2011 i SRPS EN 12766-2:2011.</w:t>
      </w:r>
      <w:r w:rsidRPr="00E625A7">
        <w:rPr>
          <w:rFonts w:ascii="Arial" w:eastAsia="Times New Roman" w:hAnsi="Arial" w:cs="Arial"/>
          <w:i/>
          <w:iCs/>
        </w:rPr>
        <w:br/>
      </w:r>
      <w:r w:rsidRPr="00E625A7">
        <w:rPr>
          <w:rFonts w:ascii="Arial" w:eastAsia="Times New Roman" w:hAnsi="Arial" w:cs="Arial"/>
        </w:rPr>
        <w:t xml:space="preserve">(**) </w:t>
      </w:r>
      <w:r w:rsidRPr="00E625A7">
        <w:rPr>
          <w:rFonts w:ascii="Arial" w:eastAsia="Times New Roman" w:hAnsi="Arial" w:cs="Arial"/>
          <w:i/>
          <w:iCs/>
        </w:rPr>
        <w:t xml:space="preserve">Ekvivalentna toksičnost (TE) PCDD i PCDF se izračunava </w:t>
      </w:r>
      <w:proofErr w:type="gramStart"/>
      <w:r w:rsidRPr="00E625A7">
        <w:rPr>
          <w:rFonts w:ascii="Arial" w:eastAsia="Times New Roman" w:hAnsi="Arial" w:cs="Arial"/>
          <w:i/>
          <w:iCs/>
        </w:rPr>
        <w:t>na</w:t>
      </w:r>
      <w:proofErr w:type="gramEnd"/>
      <w:r w:rsidRPr="00E625A7">
        <w:rPr>
          <w:rFonts w:ascii="Arial" w:eastAsia="Times New Roman" w:hAnsi="Arial" w:cs="Arial"/>
          <w:i/>
          <w:iCs/>
        </w:rPr>
        <w:t xml:space="preserve"> osnovu sledećih faktora ekvivalentne toksičnosti (TEF).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0"/>
        <w:gridCol w:w="4710"/>
      </w:tblGrid>
      <w:tr w:rsidR="00E625A7" w:rsidRPr="00E625A7" w:rsidTr="00E625A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PCDD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TEF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2,3,7,8-TeCDD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1,2,3,7,8-PeCDD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1,2,3,4,7,8-HxCDD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1,2,3,6,7,8-HxCDD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1,2,3,7,8,9-HxCDD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1,2,3,4,6,7,8-HpCDD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OCDD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0,0003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PCDF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TEF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2,3,7,8-TeCDF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1,2,3,7,8-PeCDF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0,03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2,3,4,7,8-PeCDF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0,3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1,2,3,4,7,8-HxCDF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PCDD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TEF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1,2,3,6,7,8-HxCDF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1,2,3,7,8,9-HxCDF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2,3,4,6,7,8-HxCDF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1,2,3,4,6,7,8-HpCDF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1,2,3,4,7,8,9-HpCDF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OCDF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0,0003</w:t>
            </w:r>
          </w:p>
        </w:tc>
      </w:tr>
    </w:tbl>
    <w:p w:rsidR="00E625A7" w:rsidRPr="00E625A7" w:rsidRDefault="00E625A7" w:rsidP="00E625A7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E625A7">
        <w:rPr>
          <w:rFonts w:ascii="Arial" w:eastAsia="Times New Roman" w:hAnsi="Arial" w:cs="Arial"/>
          <w:sz w:val="26"/>
          <w:szCs w:val="26"/>
        </w:rPr>
        <w:t xml:space="preserve">  </w:t>
      </w:r>
    </w:p>
    <w:p w:rsidR="00E625A7" w:rsidRPr="00E625A7" w:rsidRDefault="00E625A7" w:rsidP="00E625A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13" w:name="str_3"/>
      <w:bookmarkEnd w:id="13"/>
      <w:proofErr w:type="gramStart"/>
      <w:r w:rsidRPr="00E625A7">
        <w:rPr>
          <w:rFonts w:ascii="Arial" w:eastAsia="Times New Roman" w:hAnsi="Arial" w:cs="Arial"/>
          <w:b/>
          <w:bCs/>
          <w:sz w:val="29"/>
          <w:szCs w:val="29"/>
        </w:rPr>
        <w:t>Prilog 2.</w:t>
      </w:r>
      <w:proofErr w:type="gramEnd"/>
      <w:r w:rsidRPr="00E625A7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</w:p>
    <w:p w:rsidR="00E625A7" w:rsidRPr="00E625A7" w:rsidRDefault="00E625A7" w:rsidP="00E625A7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E625A7">
        <w:rPr>
          <w:rFonts w:ascii="Arial" w:eastAsia="Times New Roman" w:hAnsi="Arial" w:cs="Arial"/>
          <w:sz w:val="26"/>
          <w:szCs w:val="26"/>
        </w:rPr>
        <w:t xml:space="preserve">  </w:t>
      </w:r>
    </w:p>
    <w:p w:rsidR="00E625A7" w:rsidRPr="00E625A7" w:rsidRDefault="00E625A7" w:rsidP="00E625A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14" w:name="str_4"/>
      <w:bookmarkEnd w:id="14"/>
      <w:r w:rsidRPr="00E625A7">
        <w:rPr>
          <w:rFonts w:ascii="Arial" w:eastAsia="Times New Roman" w:hAnsi="Arial" w:cs="Arial"/>
          <w:b/>
          <w:bCs/>
          <w:sz w:val="29"/>
          <w:szCs w:val="29"/>
        </w:rPr>
        <w:t xml:space="preserve">LISTA OTPADA KOJI SADRŽI, SASTOJI SE ILI JE KONTAMINIRAN POPs MATERIJAMA ZA KOJI SE MOŽE PRIMENITI ALTERNATIVNO ODLAGANJE </w:t>
      </w:r>
    </w:p>
    <w:p w:rsidR="00E625A7" w:rsidRPr="00E625A7" w:rsidRDefault="00E625A7" w:rsidP="00E625A7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E625A7">
        <w:rPr>
          <w:rFonts w:ascii="Arial" w:eastAsia="Times New Roman" w:hAnsi="Arial" w:cs="Arial"/>
          <w:sz w:val="26"/>
          <w:szCs w:val="26"/>
        </w:rPr>
        <w:t>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2077"/>
        <w:gridCol w:w="3790"/>
        <w:gridCol w:w="2184"/>
      </w:tblGrid>
      <w:tr w:rsidR="00E625A7" w:rsidRPr="00E625A7" w:rsidTr="00E625A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Klasifikacija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Maksimalna granična koncentracija supstanci </w:t>
            </w:r>
            <w:r w:rsidRPr="00E625A7">
              <w:rPr>
                <w:rFonts w:ascii="Arial" w:eastAsia="Times New Roman" w:hAnsi="Arial" w:cs="Arial"/>
                <w:b/>
                <w:bCs/>
                <w:sz w:val="15"/>
                <w:vertAlign w:val="superscript"/>
              </w:rPr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Operacija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</w:t>
            </w:r>
            <w:r w:rsidRPr="00E625A7">
              <w:rPr>
                <w:rFonts w:ascii="Arial" w:eastAsia="Times New Roman" w:hAnsi="Arial" w:cs="Arial"/>
              </w:rPr>
              <w:lastRenderedPageBreak/>
              <w:t xml:space="preserve">TERMIČKIH PROCES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lastRenderedPageBreak/>
              <w:t>Aldrin: 5.000 mg/kg;</w:t>
            </w:r>
            <w:r w:rsidRPr="00E625A7">
              <w:rPr>
                <w:rFonts w:ascii="Arial" w:eastAsia="Times New Roman" w:hAnsi="Arial" w:cs="Arial"/>
              </w:rPr>
              <w:br/>
            </w:r>
            <w:r w:rsidRPr="00E625A7">
              <w:rPr>
                <w:rFonts w:ascii="Arial" w:eastAsia="Times New Roman" w:hAnsi="Arial" w:cs="Arial"/>
              </w:rPr>
              <w:lastRenderedPageBreak/>
              <w:t>Hlordan: 5.000 mg/kg;</w:t>
            </w:r>
            <w:r w:rsidRPr="00E625A7">
              <w:rPr>
                <w:rFonts w:ascii="Arial" w:eastAsia="Times New Roman" w:hAnsi="Arial" w:cs="Arial"/>
              </w:rPr>
              <w:br/>
              <w:t>Hlordekon: 5.000 mg/kg; DDT (1,1,1-trihlor-2,2-bis (4-hlorfeniletan) 5.000 mg/kg;</w:t>
            </w:r>
            <w:r w:rsidRPr="00E625A7">
              <w:rPr>
                <w:rFonts w:ascii="Arial" w:eastAsia="Times New Roman" w:hAnsi="Arial" w:cs="Arial"/>
              </w:rPr>
              <w:br/>
              <w:t>Dieldrin: 5.000 mg/kg;</w:t>
            </w:r>
            <w:r w:rsidRPr="00E625A7">
              <w:rPr>
                <w:rFonts w:ascii="Arial" w:eastAsia="Times New Roman" w:hAnsi="Arial" w:cs="Arial"/>
              </w:rPr>
              <w:br/>
              <w:t>Endrin: 5.000 mg/kg; Heptabromdifenil etar (C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7</w:t>
            </w:r>
            <w:r w:rsidRPr="00E625A7">
              <w:rPr>
                <w:rFonts w:ascii="Arial" w:eastAsia="Times New Roman" w:hAnsi="Arial" w:cs="Arial"/>
              </w:rPr>
              <w:t>O);</w:t>
            </w:r>
            <w:r w:rsidRPr="00E625A7">
              <w:rPr>
                <w:rFonts w:ascii="Arial" w:eastAsia="Times New Roman" w:hAnsi="Arial" w:cs="Arial"/>
              </w:rPr>
              <w:br/>
              <w:t>Heptahlor: 5.000 mg/kg; Heksabrombifenil: 5.000 mg/kg;</w:t>
            </w:r>
            <w:r w:rsidRPr="00E625A7">
              <w:rPr>
                <w:rFonts w:ascii="Arial" w:eastAsia="Times New Roman" w:hAnsi="Arial" w:cs="Arial"/>
              </w:rPr>
              <w:br/>
              <w:t>Heksabromdifenil etar (C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4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6</w:t>
            </w:r>
            <w:r w:rsidRPr="00E625A7">
              <w:rPr>
                <w:rFonts w:ascii="Arial" w:eastAsia="Times New Roman" w:hAnsi="Arial" w:cs="Arial"/>
              </w:rPr>
              <w:t>O);</w:t>
            </w:r>
            <w:r w:rsidRPr="00E625A7">
              <w:rPr>
                <w:rFonts w:ascii="Arial" w:eastAsia="Times New Roman" w:hAnsi="Arial" w:cs="Arial"/>
              </w:rPr>
              <w:br/>
              <w:t>Heksahlorbenzen: 5.000 mg/kg;</w:t>
            </w:r>
            <w:r w:rsidRPr="00E625A7">
              <w:rPr>
                <w:rFonts w:ascii="Arial" w:eastAsia="Times New Roman" w:hAnsi="Arial" w:cs="Arial"/>
              </w:rPr>
              <w:br/>
              <w:t>Heksahlorcikloheksani, uključujući lindan: 5.000 mg/kg;</w:t>
            </w:r>
            <w:r w:rsidRPr="00E625A7">
              <w:rPr>
                <w:rFonts w:ascii="Arial" w:eastAsia="Times New Roman" w:hAnsi="Arial" w:cs="Arial"/>
              </w:rPr>
              <w:br/>
              <w:t>Mireks: 5.000 mg/kg;</w:t>
            </w:r>
            <w:r w:rsidRPr="00E625A7">
              <w:rPr>
                <w:rFonts w:ascii="Arial" w:eastAsia="Times New Roman" w:hAnsi="Arial" w:cs="Arial"/>
              </w:rPr>
              <w:br/>
              <w:t>Pentabromdifenil etar (C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5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5</w:t>
            </w:r>
            <w:r w:rsidRPr="00E625A7">
              <w:rPr>
                <w:rFonts w:ascii="Arial" w:eastAsia="Times New Roman" w:hAnsi="Arial" w:cs="Arial"/>
              </w:rPr>
              <w:t>O);</w:t>
            </w:r>
            <w:r w:rsidRPr="00E625A7">
              <w:rPr>
                <w:rFonts w:ascii="Arial" w:eastAsia="Times New Roman" w:hAnsi="Arial" w:cs="Arial"/>
              </w:rPr>
              <w:br/>
              <w:t>Pentahlorbenzen: 5.000 mg/kg;</w:t>
            </w:r>
            <w:r w:rsidRPr="00E625A7">
              <w:rPr>
                <w:rFonts w:ascii="Arial" w:eastAsia="Times New Roman" w:hAnsi="Arial" w:cs="Arial"/>
              </w:rPr>
              <w:br/>
              <w:t>Perfluoroktan sulfonska kiselina i njeni derivati (PFOS) (C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8</w:t>
            </w:r>
            <w:r w:rsidRPr="00E625A7">
              <w:rPr>
                <w:rFonts w:ascii="Arial" w:eastAsia="Times New Roman" w:hAnsi="Arial" w:cs="Arial"/>
              </w:rPr>
              <w:t>F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17</w:t>
            </w:r>
            <w:r w:rsidRPr="00E625A7">
              <w:rPr>
                <w:rFonts w:ascii="Arial" w:eastAsia="Times New Roman" w:hAnsi="Arial" w:cs="Arial"/>
              </w:rPr>
              <w:t>SO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E625A7">
              <w:rPr>
                <w:rFonts w:ascii="Arial" w:eastAsia="Times New Roman" w:hAnsi="Arial" w:cs="Arial"/>
              </w:rPr>
              <w:t xml:space="preserve">X) (X = OH, soli metala (O-M+), halid, amid, i ostali derivati uključujući polimere);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lastRenderedPageBreak/>
              <w:t xml:space="preserve">Trajno skladištenje </w:t>
            </w:r>
            <w:r w:rsidRPr="00E625A7">
              <w:rPr>
                <w:rFonts w:ascii="Arial" w:eastAsia="Times New Roman" w:hAnsi="Arial" w:cs="Arial"/>
              </w:rPr>
              <w:lastRenderedPageBreak/>
              <w:t>će biti dozvoljeno samo kada su ispunjeni svi sledeći uslovi</w:t>
            </w:r>
            <w:proofErr w:type="gramStart"/>
            <w:r w:rsidRPr="00E625A7">
              <w:rPr>
                <w:rFonts w:ascii="Arial" w:eastAsia="Times New Roman" w:hAnsi="Arial" w:cs="Arial"/>
              </w:rPr>
              <w:t>:</w:t>
            </w:r>
            <w:proofErr w:type="gramEnd"/>
            <w:r w:rsidRPr="00E625A7">
              <w:rPr>
                <w:rFonts w:ascii="Arial" w:eastAsia="Times New Roman" w:hAnsi="Arial" w:cs="Arial"/>
              </w:rPr>
              <w:br/>
              <w:t>1. Mesto za skladištenje se nalazi na jednoj od sledećih lokacija:</w:t>
            </w:r>
            <w:r w:rsidRPr="00E625A7">
              <w:rPr>
                <w:rFonts w:ascii="Arial" w:eastAsia="Times New Roman" w:hAnsi="Arial" w:cs="Arial"/>
              </w:rPr>
              <w:br/>
              <w:t>- bezbedno, duboko, ispod zemlje, formacije od tvrde stene,</w:t>
            </w:r>
            <w:r w:rsidRPr="00E625A7">
              <w:rPr>
                <w:rFonts w:ascii="Arial" w:eastAsia="Times New Roman" w:hAnsi="Arial" w:cs="Arial"/>
              </w:rPr>
              <w:br/>
              <w:t>- rudnici soli,</w:t>
            </w:r>
            <w:r w:rsidRPr="00E625A7">
              <w:rPr>
                <w:rFonts w:ascii="Arial" w:eastAsia="Times New Roman" w:hAnsi="Arial" w:cs="Arial"/>
              </w:rPr>
              <w:br/>
              <w:t>- deponije za opasan otpad, pod uslovom da se otpad učvrstio ili delimično stabilizovao;</w:t>
            </w:r>
            <w:r w:rsidRPr="00E625A7">
              <w:rPr>
                <w:rFonts w:ascii="Arial" w:eastAsia="Times New Roman" w:hAnsi="Arial" w:cs="Arial"/>
              </w:rPr>
              <w:br/>
              <w:t>2. Da je u skladu sa zakonom kojim se uređuje skladištenje opasnog otpada;</w:t>
            </w:r>
            <w:r w:rsidRPr="00E625A7">
              <w:rPr>
                <w:rFonts w:ascii="Arial" w:eastAsia="Times New Roman" w:hAnsi="Arial" w:cs="Arial"/>
              </w:rPr>
              <w:br/>
              <w:t xml:space="preserve">3. Da je dokazano da je izabrani način ekološki bolji.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lastRenderedPageBreak/>
              <w:t xml:space="preserve">10 01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energana i drugih postrojenja za sagorevanje (osim 19)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01 14* </w:t>
            </w:r>
            <w:r w:rsidRPr="00E625A7">
              <w:rPr>
                <w:rFonts w:ascii="Arial" w:eastAsia="Times New Roman" w:hAnsi="Arial" w:cs="Arial"/>
                <w:b/>
                <w:bCs/>
                <w:sz w:val="15"/>
                <w:vertAlign w:val="superscript"/>
              </w:rPr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šljaka i prašina iz kotla iz procesa ko-spaljivanja, koja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01 16*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leteći pepeo iz procesa ko-spaljivanja koji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industrije gvožđa i čelika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02 07*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čvrsti otpadi iz procesa tretmana gasa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termičke metalurgije aluminijuma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03 04*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šljake iz primarne proizvodnje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03 08*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slane šljake iz sekundarne proizvodnje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03 09*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crna zgura iz sekundarne proizvodnje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10 03 19* 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dimnog gasa koja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E625A7" w:rsidRPr="00E625A7" w:rsidRDefault="00E625A7" w:rsidP="00E625A7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4670"/>
        <w:gridCol w:w="3626"/>
        <w:gridCol w:w="122"/>
      </w:tblGrid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03 21*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ostale čvrste čestice i prašina (uključujući prašinu iz mlina sa kuglama) koji sadrže opasne supstance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Polihlorovani bifenili (PCB) </w:t>
            </w:r>
            <w:r w:rsidRPr="00E625A7">
              <w:rPr>
                <w:rFonts w:ascii="Arial" w:eastAsia="Times New Roman" w:hAnsi="Arial" w:cs="Arial"/>
                <w:b/>
                <w:bCs/>
                <w:sz w:val="15"/>
                <w:vertAlign w:val="superscript"/>
              </w:rPr>
              <w:t>(3)</w:t>
            </w:r>
            <w:r w:rsidRPr="00E625A7">
              <w:rPr>
                <w:rFonts w:ascii="Arial" w:eastAsia="Times New Roman" w:hAnsi="Arial" w:cs="Arial"/>
              </w:rPr>
              <w:t>:</w:t>
            </w:r>
            <w:r w:rsidRPr="00E625A7">
              <w:rPr>
                <w:rFonts w:ascii="Arial" w:eastAsia="Times New Roman" w:hAnsi="Arial" w:cs="Arial"/>
              </w:rPr>
              <w:br/>
              <w:t>50 mg/kg;</w:t>
            </w:r>
            <w:r w:rsidRPr="00E625A7">
              <w:rPr>
                <w:rFonts w:ascii="Arial" w:eastAsia="Times New Roman" w:hAnsi="Arial" w:cs="Arial"/>
              </w:rPr>
              <w:br/>
              <w:t xml:space="preserve">Polihlorovani dibenzo-r-dioksini i dibenzofurani (PCDD/PCDF) </w:t>
            </w:r>
            <w:r w:rsidRPr="00E625A7">
              <w:rPr>
                <w:rFonts w:ascii="Arial" w:eastAsia="Times New Roman" w:hAnsi="Arial" w:cs="Arial"/>
                <w:b/>
                <w:bCs/>
                <w:sz w:val="15"/>
                <w:vertAlign w:val="superscript"/>
              </w:rPr>
              <w:t>(4)</w:t>
            </w:r>
            <w:r w:rsidRPr="00E625A7">
              <w:rPr>
                <w:rFonts w:ascii="Arial" w:eastAsia="Times New Roman" w:hAnsi="Arial" w:cs="Arial"/>
              </w:rPr>
              <w:t>:</w:t>
            </w:r>
            <w:r w:rsidRPr="00E625A7">
              <w:rPr>
                <w:rFonts w:ascii="Arial" w:eastAsia="Times New Roman" w:hAnsi="Arial" w:cs="Arial"/>
              </w:rPr>
              <w:br/>
              <w:t>5 mg/kg;</w:t>
            </w:r>
            <w:r w:rsidRPr="00E625A7">
              <w:rPr>
                <w:rFonts w:ascii="Arial" w:eastAsia="Times New Roman" w:hAnsi="Arial" w:cs="Arial"/>
              </w:rPr>
              <w:br/>
              <w:t>Tetrambromdifenil etar (C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12</w:t>
            </w:r>
            <w:r w:rsidRPr="00E625A7">
              <w:rPr>
                <w:rFonts w:ascii="Arial" w:eastAsia="Times New Roman" w:hAnsi="Arial" w:cs="Arial"/>
              </w:rPr>
              <w:t>H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6</w:t>
            </w:r>
            <w:r w:rsidRPr="00E625A7">
              <w:rPr>
                <w:rFonts w:ascii="Arial" w:eastAsia="Times New Roman" w:hAnsi="Arial" w:cs="Arial"/>
              </w:rPr>
              <w:t>Br</w:t>
            </w:r>
            <w:r w:rsidRPr="00E625A7">
              <w:rPr>
                <w:rFonts w:ascii="Arial" w:eastAsia="Times New Roman" w:hAnsi="Arial" w:cs="Arial"/>
                <w:sz w:val="15"/>
                <w:vertAlign w:val="subscript"/>
              </w:rPr>
              <w:t>4</w:t>
            </w:r>
            <w:r w:rsidRPr="00E625A7">
              <w:rPr>
                <w:rFonts w:ascii="Arial" w:eastAsia="Times New Roman" w:hAnsi="Arial" w:cs="Arial"/>
              </w:rPr>
              <w:t>O);</w:t>
            </w:r>
            <w:r w:rsidRPr="00E625A7">
              <w:rPr>
                <w:rFonts w:ascii="Arial" w:eastAsia="Times New Roman" w:hAnsi="Arial" w:cs="Arial"/>
              </w:rPr>
              <w:br/>
              <w:t xml:space="preserve">Toksafeon: 5.000 mg/kg;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03 29*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od tretmana slanih šljaka i crne zgure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termičke metalurgije olova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04 01*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šljake iz primarne i sekundarne proizvodnje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04 02*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zgura i plivajuća pena/šljaka iz primarne i sekundarne proizvodnje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04 04*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dimnog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lastRenderedPageBreak/>
              <w:t xml:space="preserve">10 04 05*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ostale čvrste čestice i prašina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04 06*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čvrsti otpadi iz tretmana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termičke metalurgije cinka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05 03*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dimnog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05 05*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čvrsti otpad iz tretmana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 iz termičke metalurgije bakra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06 03*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dimnog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06 06*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čvrsti otpadi iz tretmana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termičke metalurgije ostalih obojenih metala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08 08*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slana šljaka iz primarne i sekundarne proizvodnje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08 15*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dimnog gasa koja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od livenja gvozdenih odlivaka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10 09 09*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dimnog gasa koja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E625A7" w:rsidRPr="00E625A7" w:rsidRDefault="00E625A7" w:rsidP="00E625A7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8174"/>
        <w:gridCol w:w="122"/>
        <w:gridCol w:w="122"/>
      </w:tblGrid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KOJI NISU DRUGAČIJE SPECIFICIRANI U KATALOGU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16 11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otpadne obloge i vatrostalni materijali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16 11 01*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obloge na bazi ugljenika i vatrostalni materijali iz metalurških procesa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16 11 03*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ostale obloge i vatrostalni materijali iz metalurških procesa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GRAĐEVINSKI OTPAD I OTPAD OD RUŠENJA (UKLJUČUJUĆI I ISKOPANU ZEMLJU SA KONTAMINIRANIH LOKACIJA)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beton, cigle, crep i keramika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01 06*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mešavine ili pojedine frakcije betona, cigle, pločice i keramika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zemlja (uključujući zemlju iskopanu sa kontaminiranih lokacija), kamen i iskop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05 03*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zemlja i kamen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ostali otpadi od građenja i rušenja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09 02*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od građenja i rušenja koji sadrže PCB (npr. zaptivači koji sadrže PCB, podovi na bazi smola koji sadrže PCB, glazure koje sadrže PCB i kondenzatori koji sadrže PCB)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17 09 03*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ostali otpadi od građenja i rušenja (uključujući mešane otpade) koji sadrže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IZ POSTROJENJA ZA OBRADU OTPADA, POGONA ZA TRETMAN OTPADNIH VODA VAN MESTA NASTAJANJA I PRIPREMU VODE ZA LJUDSKU POTROŠNJU I KORIŠĆENJE U INDUSTRIJI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otpadi od spaljivanja ili pirolize otpada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01 07*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čvrsti otpadi od tretmana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01 11*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šljaka koja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01 13*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leteći pepeo koji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lastRenderedPageBreak/>
              <w:t xml:space="preserve">19 01 15*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prašina iz kotla koja sadrži opasne supstance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ostakljen (vitrifikovan) otpad i otpadi nastali u procesu vitrifikacije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04 02*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leteći pepeo i ostali otpadi od tretmana dimnog gasa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19 04 03*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 xml:space="preserve">čvrsta faza koja se nije vitrifikovala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5A7" w:rsidRPr="00E625A7" w:rsidRDefault="00E625A7" w:rsidP="00E625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E625A7" w:rsidRPr="00E625A7" w:rsidRDefault="00E625A7" w:rsidP="00E625A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625A7">
        <w:rPr>
          <w:rFonts w:ascii="Arial" w:eastAsia="Times New Roman" w:hAnsi="Arial" w:cs="Arial"/>
        </w:rPr>
        <w:t>______________</w:t>
      </w:r>
      <w:proofErr w:type="gramStart"/>
      <w:r w:rsidRPr="00E625A7">
        <w:rPr>
          <w:rFonts w:ascii="Arial" w:eastAsia="Times New Roman" w:hAnsi="Arial" w:cs="Arial"/>
        </w:rPr>
        <w:t>_</w:t>
      </w:r>
      <w:proofErr w:type="gramEnd"/>
      <w:r w:rsidRPr="00E625A7">
        <w:rPr>
          <w:rFonts w:ascii="Arial" w:eastAsia="Times New Roman" w:hAnsi="Arial" w:cs="Arial"/>
        </w:rPr>
        <w:br/>
      </w:r>
      <w:r w:rsidRPr="00E625A7">
        <w:rPr>
          <w:rFonts w:ascii="Arial" w:eastAsia="Times New Roman" w:hAnsi="Arial" w:cs="Arial"/>
          <w:b/>
          <w:bCs/>
          <w:sz w:val="15"/>
          <w:vertAlign w:val="superscript"/>
        </w:rPr>
        <w:t>(1)</w:t>
      </w:r>
      <w:r w:rsidRPr="00E625A7">
        <w:rPr>
          <w:rFonts w:ascii="Arial" w:eastAsia="Times New Roman" w:hAnsi="Arial" w:cs="Arial"/>
        </w:rPr>
        <w:t xml:space="preserve"> Ova </w:t>
      </w:r>
      <w:r w:rsidRPr="00E625A7">
        <w:rPr>
          <w:rFonts w:ascii="Arial" w:eastAsia="Times New Roman" w:hAnsi="Arial" w:cs="Arial"/>
          <w:i/>
          <w:iCs/>
        </w:rPr>
        <w:t>ograničenja se primenjuju isključivo na deponije za opasni otpad i ne primenjuju se na stalne podzemne objekte za skladištenje opasnih otpada, uključujući i rudnike soli.</w:t>
      </w:r>
      <w:r w:rsidRPr="00E625A7">
        <w:rPr>
          <w:rFonts w:ascii="Arial" w:eastAsia="Times New Roman" w:hAnsi="Arial" w:cs="Arial"/>
        </w:rPr>
        <w:br/>
      </w:r>
      <w:r w:rsidRPr="00E625A7">
        <w:rPr>
          <w:rFonts w:ascii="Arial" w:eastAsia="Times New Roman" w:hAnsi="Arial" w:cs="Arial"/>
          <w:b/>
          <w:bCs/>
          <w:sz w:val="15"/>
          <w:vertAlign w:val="superscript"/>
        </w:rPr>
        <w:t xml:space="preserve">(2) </w:t>
      </w:r>
      <w:r w:rsidRPr="00E625A7">
        <w:rPr>
          <w:rFonts w:ascii="Arial" w:eastAsia="Times New Roman" w:hAnsi="Arial" w:cs="Arial"/>
          <w:i/>
          <w:iCs/>
        </w:rPr>
        <w:t>Svaki otpad označen zvezdicom* smatra se opasnim otpadom.</w:t>
      </w:r>
      <w:r w:rsidRPr="00E625A7">
        <w:rPr>
          <w:rFonts w:ascii="Arial" w:eastAsia="Times New Roman" w:hAnsi="Arial" w:cs="Arial"/>
        </w:rPr>
        <w:br/>
      </w:r>
      <w:r w:rsidRPr="00E625A7">
        <w:rPr>
          <w:rFonts w:ascii="Arial" w:eastAsia="Times New Roman" w:hAnsi="Arial" w:cs="Arial"/>
          <w:b/>
          <w:bCs/>
          <w:sz w:val="15"/>
          <w:vertAlign w:val="superscript"/>
        </w:rPr>
        <w:t>(3)</w:t>
      </w:r>
      <w:r w:rsidRPr="00E625A7">
        <w:rPr>
          <w:rFonts w:ascii="Arial" w:eastAsia="Times New Roman" w:hAnsi="Arial" w:cs="Arial"/>
          <w:i/>
          <w:iCs/>
        </w:rPr>
        <w:t xml:space="preserve"> Primenjuje se metod izračunavanja sadržan u SRPS EN 12766-1:2011 i SRPS EN 12766-2:2011.</w:t>
      </w:r>
      <w:r w:rsidRPr="00E625A7">
        <w:rPr>
          <w:rFonts w:ascii="Arial" w:eastAsia="Times New Roman" w:hAnsi="Arial" w:cs="Arial"/>
        </w:rPr>
        <w:br/>
      </w:r>
      <w:r w:rsidRPr="00E625A7">
        <w:rPr>
          <w:rFonts w:ascii="Arial" w:eastAsia="Times New Roman" w:hAnsi="Arial" w:cs="Arial"/>
          <w:b/>
          <w:bCs/>
          <w:sz w:val="15"/>
          <w:vertAlign w:val="superscript"/>
        </w:rPr>
        <w:t>(4)</w:t>
      </w:r>
      <w:r w:rsidRPr="00E625A7">
        <w:rPr>
          <w:rFonts w:ascii="Arial" w:eastAsia="Times New Roman" w:hAnsi="Arial" w:cs="Arial"/>
          <w:i/>
          <w:iCs/>
        </w:rPr>
        <w:t xml:space="preserve"> Ekvivalentna toksičnost (TE) PCDD i PCDF se izračunava </w:t>
      </w:r>
      <w:proofErr w:type="gramStart"/>
      <w:r w:rsidRPr="00E625A7">
        <w:rPr>
          <w:rFonts w:ascii="Arial" w:eastAsia="Times New Roman" w:hAnsi="Arial" w:cs="Arial"/>
          <w:i/>
          <w:iCs/>
        </w:rPr>
        <w:t>na</w:t>
      </w:r>
      <w:proofErr w:type="gramEnd"/>
      <w:r w:rsidRPr="00E625A7">
        <w:rPr>
          <w:rFonts w:ascii="Arial" w:eastAsia="Times New Roman" w:hAnsi="Arial" w:cs="Arial"/>
          <w:i/>
          <w:iCs/>
        </w:rPr>
        <w:t xml:space="preserve"> osnovu sledećih faktora ekvivalentne toksičnosti (TEF).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0"/>
        <w:gridCol w:w="4710"/>
      </w:tblGrid>
      <w:tr w:rsidR="00E625A7" w:rsidRPr="00E625A7" w:rsidTr="00E625A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PCDD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TEF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2,3,7,8-TeCDD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1,2,3,7,8-PeCDD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1,2,3,4,7,8-HxCDD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1,2,3,6,7,8-HxCDD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1,2,3,7,8,9-HxCDD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1,2,3,4,6,7,8-HpCDD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OCDD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0,0003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PCDF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TEF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2,3,7,8-TeCDF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1,2,3,7,8-PeCDF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0,05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2,3,4,7,8-PeCDF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0,5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1,2,3,4,7,8-HxCDF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1,2,3,6,7,8-HxCDF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1,2,3,7,8,9-HxCDF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PCDD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625A7">
              <w:rPr>
                <w:rFonts w:ascii="Arial" w:eastAsia="Times New Roman" w:hAnsi="Arial" w:cs="Arial"/>
                <w:b/>
                <w:bCs/>
              </w:rPr>
              <w:t>TEF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2,3,4,6,7,8-HxCDF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1,2,3,4,6,7,8-HpCDF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1,2,3,4,7,8,9-HpCDF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0,01</w:t>
            </w:r>
          </w:p>
        </w:tc>
      </w:tr>
      <w:tr w:rsidR="00E625A7" w:rsidRPr="00E625A7" w:rsidTr="00E625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OCDF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25A7" w:rsidRPr="00E625A7" w:rsidRDefault="00E625A7" w:rsidP="00E625A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E625A7">
              <w:rPr>
                <w:rFonts w:ascii="Arial" w:eastAsia="Times New Roman" w:hAnsi="Arial" w:cs="Arial"/>
              </w:rPr>
              <w:t>0,0003</w:t>
            </w:r>
          </w:p>
        </w:tc>
      </w:tr>
    </w:tbl>
    <w:p w:rsidR="0079148F" w:rsidRDefault="0079148F"/>
    <w:sectPr w:rsidR="0079148F" w:rsidSect="00791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5A7"/>
    <w:rsid w:val="0079148F"/>
    <w:rsid w:val="00E523F4"/>
    <w:rsid w:val="00E6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E625A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E625A7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E625A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E625A7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E625A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E625A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E625A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E625A7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E625A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character" w:customStyle="1" w:styleId="indeks1">
    <w:name w:val="indeks1"/>
    <w:basedOn w:val="Podrazumevanifontpasusa"/>
    <w:rsid w:val="00E625A7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E625A7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E523F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523F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523F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523F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E625A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E625A7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E625A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E625A7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E625A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E625A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E625A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E625A7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E625A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character" w:customStyle="1" w:styleId="indeks1">
    <w:name w:val="indeks1"/>
    <w:basedOn w:val="Podrazumevanifontpasusa"/>
    <w:rsid w:val="00E625A7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E625A7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E523F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523F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523F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523F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2344</Words>
  <Characters>13361</Characters>
  <Application>Microsoft Office Word</Application>
  <DocSecurity>0</DocSecurity>
  <Lines>111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2018-09-07T08:55:00Z</dcterms:created>
  <dcterms:modified xsi:type="dcterms:W3CDTF">2018-09-07T08:55:00Z</dcterms:modified>
</cp:coreProperties>
</file>