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B3" w:rsidRPr="00C632B3" w:rsidRDefault="00C632B3" w:rsidP="00C632B3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C632B3">
        <w:rPr>
          <w:rFonts w:eastAsia="Times New Roman"/>
          <w:lang w:eastAsia="sr-Latn-RS"/>
        </w:rPr>
        <w:t>PRAVILNIK</w:t>
      </w:r>
    </w:p>
    <w:p w:rsidR="00C632B3" w:rsidRPr="00C632B3" w:rsidRDefault="00C632B3" w:rsidP="00C632B3">
      <w:pPr>
        <w:pStyle w:val="Naslov"/>
        <w:jc w:val="center"/>
        <w:rPr>
          <w:rFonts w:eastAsia="Times New Roman"/>
          <w:lang w:eastAsia="sr-Latn-RS"/>
        </w:rPr>
      </w:pPr>
      <w:r w:rsidRPr="00C632B3">
        <w:rPr>
          <w:rFonts w:eastAsia="Times New Roman"/>
          <w:lang w:eastAsia="sr-Latn-RS"/>
        </w:rPr>
        <w:t>O BLIŽIM USLOVIMA ZA DRŽANJE OPASNE HEMIKALIJE U PRODAJNOM PROSTORU I NAČINU OBELEŽAVANJA TOG PROSTORA</w:t>
      </w:r>
    </w:p>
    <w:p w:rsidR="00C632B3" w:rsidRDefault="00C632B3" w:rsidP="00C632B3">
      <w:pPr>
        <w:pStyle w:val="Podnaslov"/>
        <w:jc w:val="center"/>
        <w:rPr>
          <w:rFonts w:eastAsia="Times New Roman"/>
          <w:lang w:eastAsia="sr-Latn-RS"/>
        </w:rPr>
      </w:pPr>
      <w:r w:rsidRPr="00C632B3">
        <w:rPr>
          <w:rFonts w:eastAsia="Times New Roman"/>
          <w:lang w:eastAsia="sr-Latn-RS"/>
        </w:rPr>
        <w:t>("Sl. glasnik RS", br. 31/2011 i 16/2012)</w:t>
      </w:r>
      <w:bookmarkStart w:id="1" w:name="_GoBack"/>
      <w:bookmarkEnd w:id="1"/>
    </w:p>
    <w:p w:rsidR="00C632B3" w:rsidRDefault="00C632B3" w:rsidP="00C632B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</w:p>
    <w:p w:rsidR="009E7B86" w:rsidRPr="009E7B86" w:rsidRDefault="009E7B86" w:rsidP="00C632B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r w:rsidRPr="009E7B86">
        <w:rPr>
          <w:rFonts w:ascii="Arial" w:eastAsia="Times New Roman" w:hAnsi="Arial" w:cs="Arial"/>
          <w:sz w:val="31"/>
          <w:szCs w:val="31"/>
          <w:lang w:eastAsia="sr-Latn-RS"/>
        </w:rPr>
        <w:t xml:space="preserve">I UVODNE ODREDBE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Ovim pravilnikom propisuju se bliži uslovi za držanje opasne hemikalije u prodajnom prostoru i način obeležavanja tog prostora. </w:t>
      </w:r>
    </w:p>
    <w:p w:rsidR="009E7B86" w:rsidRPr="009E7B86" w:rsidRDefault="009E7B86" w:rsidP="009E7B8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3" w:name="str_2"/>
      <w:bookmarkEnd w:id="3"/>
      <w:r w:rsidRPr="009E7B86">
        <w:rPr>
          <w:rFonts w:ascii="Arial" w:eastAsia="Times New Roman" w:hAnsi="Arial" w:cs="Arial"/>
          <w:sz w:val="31"/>
          <w:szCs w:val="31"/>
          <w:lang w:eastAsia="sr-Latn-RS"/>
        </w:rPr>
        <w:t xml:space="preserve">II USLOVI ZA DRŽANJE OPASNE HEMIKALIJE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2"/>
      <w:bookmarkEnd w:id="4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Opasna hemikalija kada se drži u specijalizovanim ili u drugim prodavnicama mora se držati odvojeno od hemikalija sa kojima može reagovati kako bi se onemogućila njihova međusobna hemijska reakcija.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Opasna hemikalija kada se drži u prodavnicama sa drugom robom, mora se držati odvojeno od druge robe, u ormaru ili zasebnoj polici, kako bi se sprečilo dejstvo opasne hemikalije na tu robu.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3"/>
      <w:bookmarkEnd w:id="5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Ormar ili polica u kojoj se drži opasna hemikalija mora biti izrađena od materijala koji je otporan na dejstvo te hemikalije.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4"/>
      <w:bookmarkEnd w:id="6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Prodavac je dužan da, na zahtev potrošača, pruži objašnjenje o sadržaju etikete i informacije iz bezbednosnog lista o: opasnostima po zdravlje ljudi i životnu sredinu, pravilnom rukovanju sa opasnom hemikalijom, merama bezbednosti prilikom rukovanja, kao i merama prve pomoći u slučaju nesreće. </w:t>
      </w:r>
    </w:p>
    <w:p w:rsidR="009E7B86" w:rsidRPr="009E7B86" w:rsidRDefault="009E7B86" w:rsidP="009E7B8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7" w:name="str_3"/>
      <w:bookmarkEnd w:id="7"/>
      <w:r w:rsidRPr="009E7B86">
        <w:rPr>
          <w:rFonts w:ascii="Arial" w:eastAsia="Times New Roman" w:hAnsi="Arial" w:cs="Arial"/>
          <w:sz w:val="31"/>
          <w:szCs w:val="31"/>
          <w:lang w:eastAsia="sr-Latn-RS"/>
        </w:rPr>
        <w:t xml:space="preserve">III OBELEŽAVANJE PROSTORA GDE SE PRODAJE OPASNA HEMIKALIJA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5"/>
      <w:bookmarkEnd w:id="8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lastRenderedPageBreak/>
        <w:t xml:space="preserve">U prostoru gde se prodaje hemikalija klasifikovana u jednu od klasa opasnosti datih u Tabeli 1. ili Tabeli 2. mora se na vidno mesto postaviti Obaveštenje Agencije za hemikalije o elementima obeležavanja na osnovu klasifikacije hemikalija i Obaveštenje Agencije za hemikalije o načinu postupanja sa opasnim hemikalijama namenjeno potrošačima.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"/>
        <w:gridCol w:w="8159"/>
      </w:tblGrid>
      <w:tr w:rsidR="009E7B86" w:rsidRPr="009E7B86" w:rsidTr="009E7B86">
        <w:trPr>
          <w:tblCellSpacing w:w="0" w:type="dxa"/>
        </w:trPr>
        <w:tc>
          <w:tcPr>
            <w:tcW w:w="0" w:type="auto"/>
            <w:noWrap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Tabela 1: </w:t>
            </w:r>
          </w:p>
        </w:tc>
        <w:tc>
          <w:tcPr>
            <w:tcW w:w="0" w:type="auto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Klasifikacija u skladu sa Pravilnikom o klasifikaciji, pakovanju, obeležavanju i oglašavanju hemikalije i određenog proizvoda ("Službeni glasnik RS", br. 59/10, 25/11 i 5/12)</w:t>
            </w:r>
          </w:p>
        </w:tc>
      </w:tr>
    </w:tbl>
    <w:p w:rsidR="009E7B86" w:rsidRPr="009E7B86" w:rsidRDefault="009E7B86" w:rsidP="009E7B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2"/>
        <w:gridCol w:w="2100"/>
      </w:tblGrid>
      <w:tr w:rsidR="009E7B86" w:rsidRPr="009E7B86" w:rsidTr="009E7B86">
        <w:trPr>
          <w:tblCellSpacing w:w="0" w:type="dxa"/>
        </w:trPr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Klasa opasnosti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Znak opasnosti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Veoma toksično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T+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Toksično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Štetno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Xn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Korozivno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C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Iritativno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Xi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Senzibilizacija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Xn ili Xi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Karcinogeno, kategorija 1 ili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Karcinogeno, kategorija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Xn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Mutageno, kategorija 1 ili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Mutageno, kategorija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Xn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Toksično po reprodukciju, kategorija 1 ili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Toksično po reprodukciju, kategorija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Xn </w:t>
            </w:r>
          </w:p>
        </w:tc>
      </w:tr>
    </w:tbl>
    <w:p w:rsidR="009E7B86" w:rsidRPr="009E7B86" w:rsidRDefault="009E7B86" w:rsidP="009E7B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"/>
        <w:gridCol w:w="8159"/>
      </w:tblGrid>
      <w:tr w:rsidR="009E7B86" w:rsidRPr="009E7B86" w:rsidTr="009E7B86">
        <w:trPr>
          <w:tblCellSpacing w:w="0" w:type="dxa"/>
        </w:trPr>
        <w:tc>
          <w:tcPr>
            <w:tcW w:w="0" w:type="auto"/>
            <w:noWrap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Tabela 2: </w:t>
            </w:r>
          </w:p>
        </w:tc>
        <w:tc>
          <w:tcPr>
            <w:tcW w:w="0" w:type="auto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Klasifikacija u skladu sa Pravilnikom o klasifikaciji, pakovanju, obeležavanju i oglašavanju hemikalije i određenog proizvoda u skladu sa Globalno harmonizovanim sistemom za klasifikaciju i obeležavanje UN ("Službeni glasnik RS", br. 64/10 i 26/11)</w:t>
            </w:r>
          </w:p>
        </w:tc>
      </w:tr>
    </w:tbl>
    <w:p w:rsidR="009E7B86" w:rsidRPr="009E7B86" w:rsidRDefault="009E7B86" w:rsidP="009E7B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9"/>
        <w:gridCol w:w="422"/>
        <w:gridCol w:w="422"/>
        <w:gridCol w:w="408"/>
        <w:gridCol w:w="1071"/>
      </w:tblGrid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Klasa opasnosti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Kategorija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Akutna toksičnost: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Oralna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Dermalna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Inhalaciona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Korozivno oštećenje/iritacija kože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Korozija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Iritacija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Teško oštećenje/iritacija oka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Senzibilizacija respiratornih organa / senzibilizacija kože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Mutagenost germinativnih ćelija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Toksičnost po reprodukciju: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Plodnost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Laktacija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Rast i razvoj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Specifična toksičnost za ciljni organ - višekratna izloženost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Specifična toksičnost za ciljni organ - jednokratna izloženost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Opasnost od aspiracije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5a"/>
      <w:bookmarkEnd w:id="9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5a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lastRenderedPageBreak/>
        <w:t>Obaveštenje Agencije za hemikalije o elementima obeležavanja na osnovu klasifikacije iz člana 6. ovog pravilnika pravougaonog je oblika formata A4, a u prodajnom prostoru površine veće od 100 m</w:t>
      </w:r>
      <w:r w:rsidRPr="009E7B86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2</w:t>
      </w:r>
      <w:r w:rsidRPr="009E7B86">
        <w:rPr>
          <w:rFonts w:ascii="Arial" w:eastAsia="Times New Roman" w:hAnsi="Arial" w:cs="Arial"/>
          <w:lang w:eastAsia="sr-Latn-RS"/>
        </w:rPr>
        <w:t xml:space="preserve"> formata A3.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Obaveštenje iz stava 1. ovog člana sadrži elemente obeležavanja na osnovu klasifikacije: klasu opasnosti i grafički prikaz opasnosti (piktogram), pisano upozorenje i znak opasnosti, kao i klasu i kategoriju opasnosti i piktogram opasnosti prikazane u skladu sa: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1. Pravilnikom o klasifikaciji, pakovanju, obeležavanju i oglašavanju hemikalije i određenog proizvoda ("Službeni glasnik RS", br. 59/10, 25/11 i 5/12),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2. Pravilnikom o klasifikaciji, pakovanju, obeležavanju i oglašavanju hemikalije i određenog proizvoda u skladu sa Globalno harmonizovanim sistemom za klasifikaciju i obeležavanje UN ("Službeni glasnik RS", br. 64/10 i 26/11).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Obaveštenje iz stava 1. ovog člana dato je na Obrascu 1 koji čini sastavni deo ovog pravilnika.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5b"/>
      <w:bookmarkEnd w:id="10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5b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Obaveštenje Agencije za hemikalije o načinu postupanja sa opasnim hemikalijama namenjeno potrošačima iz člana 6. ovog pravilnika pravougaonog je oblika formata A4, a u prodajnom prostoru površine veće od 100 m</w:t>
      </w:r>
      <w:r w:rsidRPr="009E7B86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2</w:t>
      </w:r>
      <w:r w:rsidRPr="009E7B86">
        <w:rPr>
          <w:rFonts w:ascii="Arial" w:eastAsia="Times New Roman" w:hAnsi="Arial" w:cs="Arial"/>
          <w:lang w:eastAsia="sr-Latn-RS"/>
        </w:rPr>
        <w:t xml:space="preserve"> formata A3 i sadrži: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1. obaveštenje potrošačima da se obrate prodavcu za dobijanje objašnjenja iz člana 5. ovog pravilnika;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2. opšte informacije o načinu postupanja sa opasnim hemikalijama.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>Obaveštenje iz stava 1. ovog člana dato je na Obrascu 2 koji čini sastavni deo ovog pravilnika.</w:t>
      </w:r>
    </w:p>
    <w:p w:rsidR="009E7B86" w:rsidRPr="009E7B86" w:rsidRDefault="009E7B86" w:rsidP="009E7B8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1" w:name="str_4"/>
      <w:bookmarkEnd w:id="11"/>
      <w:r w:rsidRPr="009E7B86">
        <w:rPr>
          <w:rFonts w:ascii="Arial" w:eastAsia="Times New Roman" w:hAnsi="Arial" w:cs="Arial"/>
          <w:sz w:val="31"/>
          <w:szCs w:val="31"/>
          <w:lang w:eastAsia="sr-Latn-RS"/>
        </w:rPr>
        <w:t xml:space="preserve">V PRELAZNE I ZAVRŠNE ODREDBE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6"/>
      <w:bookmarkEnd w:id="12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Pravno lice ili preduzetnik koji se bavi maloprodajom dužan je da prilagodi uslove prodaje opasne hemikalije odredbama ovog pravilnika u roku od godinu dana stupanja na snagu ovog pravilnika. </w:t>
      </w:r>
    </w:p>
    <w:p w:rsidR="009E7B86" w:rsidRPr="009E7B86" w:rsidRDefault="009E7B86" w:rsidP="009E7B8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7"/>
      <w:bookmarkEnd w:id="13"/>
      <w:r w:rsidRPr="009E7B8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9E7B86" w:rsidRPr="009E7B86" w:rsidRDefault="009E7B86" w:rsidP="009E7B8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E7B86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9E7B86" w:rsidRPr="009E7B86" w:rsidRDefault="009E7B86" w:rsidP="009E7B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4" w:name="str_5"/>
      <w:bookmarkEnd w:id="14"/>
      <w:r w:rsidRPr="009E7B8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1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8201"/>
      </w:tblGrid>
      <w:tr w:rsidR="009E7B86" w:rsidRPr="009E7B86" w:rsidTr="009E7B86">
        <w:trPr>
          <w:tblCellSpacing w:w="0" w:type="dxa"/>
        </w:trPr>
        <w:tc>
          <w:tcPr>
            <w:tcW w:w="500" w:type="pct"/>
            <w:vMerge w:val="restart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428625" cy="752475"/>
                  <wp:effectExtent l="0" t="0" r="9525" b="9525"/>
                  <wp:docPr id="22" name="Picture 22" descr="C:\Program Files (x86)\ParagrafLex\browser\Files\Old\t\t2012_03\t03_0130_s0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ParagrafLex\browser\Files\Old\t\t2012_03\t03_0130_s0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pct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Republika Srbija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Agencija za hemikalije </w:t>
            </w:r>
          </w:p>
        </w:tc>
      </w:tr>
    </w:tbl>
    <w:p w:rsidR="009E7B86" w:rsidRPr="009E7B86" w:rsidRDefault="009E7B86" w:rsidP="009E7B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1756"/>
        <w:gridCol w:w="2258"/>
        <w:gridCol w:w="1719"/>
        <w:gridCol w:w="2038"/>
      </w:tblGrid>
      <w:tr w:rsidR="009E7B86" w:rsidRPr="009E7B86" w:rsidTr="009E7B86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bookmarkStart w:id="15" w:name="str_6"/>
            <w:bookmarkEnd w:id="15"/>
            <w:r w:rsidRPr="009E7B86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t>OBAVEŠTENJE</w:t>
            </w:r>
            <w:r w:rsidRPr="009E7B86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br/>
            </w:r>
            <w:r w:rsidRPr="009E7B86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lastRenderedPageBreak/>
              <w:t xml:space="preserve">O ELEMENTIMA OBELEŽAVANJA NA OSNOVU KLASIFIKACIJE HEMIKALIJA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PREMA PRAVILNIKU O KLASIFIKACIJI, PAKOVANJU, OBELEŽAVANJU I OGLAŠAVANJU HEMIKALIJE I ODREĐENOG PROIZVODA ("SL. GLASNIK RS", BROJ 59/10, 25/11 i 5/12)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PREMA PRAVILNIKU O KLASIFIKACIJI, PAKOVANJU, OBELEŽAVANJU I OGLAŠAVANJU HEMIKALIJE I ODREĐENOG PROIZVODA U SKLADU SA GLOBALNO HARMONIZOVANIM SISTEMOM ZA KLASIFIKACIJU I OBELEŽAVANJE UN ("SL. GLASNIK RS", BROJ 64/10 I 26/11)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KLASA OPASNOSTI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Grafički prikaz opasnosti (piktogram), pisano upozorenje i znak opasnosti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KLASA I KATEGORIJA OPASNOSTI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Piktogram opasnosti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Eksplozivno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1066800"/>
                  <wp:effectExtent l="0" t="0" r="9525" b="0"/>
                  <wp:docPr id="21" name="Picture 21" descr="C:\Program Files (x86)\ParagrafLex\browser\Files\Old\t\t2012_03\t03_013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ParagrafLex\browser\Files\Old\t\t2012_03\t03_013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Eksplozivno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Nestabilni eksplozivi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Eksplozivi, podklasa 1.1, 1.2, 1.3 i 1.4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Samoreaktivne supstance i smeše, tip A, B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Organski peroksidi, tip A,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209675" cy="981075"/>
                  <wp:effectExtent l="0" t="0" r="9525" b="9525"/>
                  <wp:docPr id="20" name="Picture 20" descr="C:\Program Files (x86)\ParagrafLex\browser\Files\Old\t\t2012_03\t03_013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Program Files (x86)\ParagrafLex\browser\Files\Old\t\t2012_03\t03_013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Veoma lako zapaljivo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Lako zapaljivo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133475" cy="1457325"/>
                  <wp:effectExtent l="0" t="0" r="9525" b="9525"/>
                  <wp:docPr id="19" name="Picture 19" descr="C:\Program Files (x86)\ParagrafLex\browser\Files\Old\t\t2012_03\t03_013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Program Files (x86)\ParagrafLex\browser\Files\Old\t\t2012_03\t03_013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Veoma lako zapaljivo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F</w:t>
            </w:r>
            <w:r w:rsidRPr="009E7B8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+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ili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lako zapaljivo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Zapaljivi gasovi, kat. 1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Zapaljivi aerosoli, kat. 1 i 2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Zapaljive tečnosti, kat. 1, 2 i 3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Zapaljive čvrste supstance i smeše, kat 1 i 2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Samoreaktivne supstance i smeše, tip B, C, D, E, F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Samozapaljive tečnosti, kat. 1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Samozapaljive čvrste supstance i smeše, kat. 1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Samozagrevajuće supstance i smeše, kat. 1 i 2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Supstance i smeše koje u kontaktu sa vodom oslobađaju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lastRenderedPageBreak/>
              <w:t>zapaljive gasove, kat. 1, 2 i 3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Organski peroksidi, tip B, C, D, E, 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1323975" cy="1247775"/>
                  <wp:effectExtent l="0" t="0" r="9525" b="9525"/>
                  <wp:docPr id="18" name="Picture 18" descr="C:\Program Files (x86)\ParagrafLex\browser\Files\Old\t\t2012_03\t03_0130_s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Program Files (x86)\ParagrafLex\browser\Files\Old\t\t2012_03\t03_0130_s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lastRenderedPageBreak/>
              <w:t>Oksidujuće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1085850"/>
                  <wp:effectExtent l="0" t="0" r="9525" b="0"/>
                  <wp:docPr id="17" name="Picture 17" descr="C:\Program Files (x86)\ParagrafLex\browser\Files\Old\t\t2012_03\t03_0130_s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Program Files (x86)\ParagrafLex\browser\Files\Old\t\t2012_03\t03_0130_s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Oksidujuće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Oksidujući gasovi, kat. 1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Oksidujuće tečnosti, kat. 1, 2 i 3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Oksidujuće čvrste supstance i smeše, kat. 1, 2 i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723900"/>
                  <wp:effectExtent l="0" t="0" r="9525" b="0"/>
                  <wp:docPr id="16" name="Picture 16" descr="C:\Program Files (x86)\ParagrafLex\browser\Files\Old\t\t2012_03\t03_0130_s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Program Files (x86)\ParagrafLex\browser\Files\Old\t\t2012_03\t03_0130_s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Gasovi pod pritiskom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742950"/>
                  <wp:effectExtent l="0" t="0" r="9525" b="0"/>
                  <wp:docPr id="15" name="Picture 15" descr="C:\Program Files (x86)\ParagrafLex\browser\Files\Old\t\t2012_03\t03_0130_s0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Program Files (x86)\ParagrafLex\browser\Files\Old\t\t2012_03\t03_0130_s0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Korozivno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57275" cy="1133475"/>
                  <wp:effectExtent l="0" t="0" r="9525" b="9525"/>
                  <wp:docPr id="14" name="Picture 14" descr="C:\Program Files (x86)\ParagrafLex\browser\Files\Old\t\t2012_03\t03_0130_s0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Program Files (x86)\ParagrafLex\browser\Files\Old\t\t2012_03\t03_0130_s0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Korozivno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Supstance i smeše korozivne za metale, kat. 1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Korozivno oštećenje kože, kat. 1A, 1B i 1C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Teško oštećenje oka, kat.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00125" cy="685800"/>
                  <wp:effectExtent l="0" t="0" r="9525" b="0"/>
                  <wp:docPr id="13" name="Picture 13" descr="C:\Program Files (x86)\ParagrafLex\browser\Files\Old\t\t2012_03\t03_0130_s0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Program Files (x86)\ParagrafLex\browser\Files\Old\t\t2012_03\t03_0130_s0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Veoma toksično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Toksično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133475" cy="1162050"/>
                  <wp:effectExtent l="0" t="0" r="9525" b="0"/>
                  <wp:docPr id="12" name="Picture 12" descr="C:\Program Files (x86)\ParagrafLex\browser\Files\Old\t\t2012_03\t03_0130_s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Program Files (x86)\ParagrafLex\browser\Files\Old\t\t2012_03\t03_0130_s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Veoma toksično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T</w:t>
            </w:r>
            <w:r w:rsidRPr="009E7B8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+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ili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Toksično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Akutna toksičnost, kat. 1, 2 i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209675" cy="828675"/>
                  <wp:effectExtent l="0" t="0" r="9525" b="9525"/>
                  <wp:docPr id="11" name="Picture 11" descr="C:\Program Files (x86)\ParagrafLex\browser\Files\Old\t\t2012_03\t03_0130_s0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Program Files (x86)\ParagrafLex\browser\Files\Old\t\t2012_03\t03_0130_s0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Štetno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Iritativno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Senzibilizacija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1114425"/>
                  <wp:effectExtent l="0" t="0" r="9525" b="9525"/>
                  <wp:docPr id="10" name="Picture 10" descr="C:\Program Files (x86)\ParagrafLex\browser\Files\Old\t\t2012_03\t03_0130_s0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Program Files (x86)\ParagrafLex\browser\Files\Old\t\t2012_03\t03_0130_s0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Štetno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X</w:t>
            </w:r>
            <w:r w:rsidRPr="009E7B8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n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Ili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Iritativno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X</w:t>
            </w:r>
            <w:r w:rsidRPr="009E7B8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Akutna toksičnost, kat. 4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Iritacija kože, kat.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Iritacija oka, kat.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Senzibilizacija kože, kat. 1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Specifična toksičnost za ciljni organ-jednokratna izloženost, kat.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762000"/>
                  <wp:effectExtent l="0" t="0" r="9525" b="0"/>
                  <wp:docPr id="9" name="Picture 9" descr="C:\Program Files (x86)\ParagrafLex\browser\Files\Old\t\t2012_03\t03_0130_s0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Program Files (x86)\ParagrafLex\browser\Files\Old\t\t2012_03\t03_0130_s0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lastRenderedPageBreak/>
              <w:t>Mutageno, kat. 1 i 2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Karcinogeno, kat. 1 i 2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Toksično po reprodukciju, kat. 1 i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133475" cy="1162050"/>
                  <wp:effectExtent l="0" t="0" r="9525" b="0"/>
                  <wp:docPr id="8" name="Picture 8" descr="C:\Program Files (x86)\ParagrafLex\browser\Files\Old\t\t2012_03\t03_0130_s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Program Files (x86)\ParagrafLex\browser\Files\Old\t\t2012_03\t03_0130_s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Toksično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Senzibilizacija respiratornih organa, kat. 1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Mutagenost germinativnih ćelija, kat. 1A, 1B i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Karcinogenost, kat. 1A, 1B i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reprodukciju, kat 1A, 1B i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Specifična toksičnost za ciljni organ - JI, kat. 1 i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 xml:space="preserve">Specifična toksičnost za ciljni organ - VI, kat. 1 i 2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Opasnost od aspiracije, kat. 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1200150"/>
                  <wp:effectExtent l="0" t="0" r="9525" b="0"/>
                  <wp:docPr id="7" name="Picture 7" descr="C:\Program Files (x86)\ParagrafLex\browser\Files\Old\t\t2012_03\t03_0130_s0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Program Files (x86)\ParagrafLex\browser\Files\Old\t\t2012_03\t03_0130_s0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Mutageno, kat 3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Karcinogeno, kat 3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Toksično po reprodukciju, kat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1114425"/>
                  <wp:effectExtent l="0" t="0" r="9525" b="9525"/>
                  <wp:docPr id="6" name="Picture 6" descr="C:\Program Files (x86)\ParagrafLex\browser\Files\Old\t\t2012_03\t03_0130_s0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Program Files (x86)\ParagrafLex\browser\Files\Old\t\t2012_03\t03_0130_s0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Štetno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X</w:t>
            </w:r>
            <w:r w:rsidRPr="009E7B8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Opasno po životnu sredinu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1104900"/>
                  <wp:effectExtent l="0" t="0" r="9525" b="0"/>
                  <wp:docPr id="5" name="Picture 5" descr="C:\Program Files (x86)\ParagrafLex\browser\Files\Old\t\t2012_03\t03_0130_s0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Program Files (x86)\ParagrafLex\browser\Files\Old\t\t2012_03\t03_0130_s0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Opasno po životnu sredinu </w:t>
            </w:r>
            <w:r w:rsidRPr="009E7B86">
              <w:rPr>
                <w:rFonts w:ascii="Arial" w:eastAsia="Times New Roman" w:hAnsi="Arial" w:cs="Arial"/>
                <w:b/>
                <w:bCs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Opasnost po vodenu životnu sredinu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- Akutno, kat. 1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- Hronično, kat. 1 i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95375" cy="952500"/>
                  <wp:effectExtent l="0" t="0" r="9525" b="0"/>
                  <wp:docPr id="4" name="Picture 4" descr="C:\Program Files (x86)\ParagrafLex\browser\Files\Old\t\t2012_03\t03_0130_s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Program Files (x86)\ParagrafLex\browser\Files\Old\t\t2012_03\t03_0130_s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7B86" w:rsidRPr="009E7B86" w:rsidRDefault="009E7B86" w:rsidP="009E7B8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>
        <w:rPr>
          <w:rFonts w:ascii="Arial" w:eastAsia="Times New Roman" w:hAnsi="Arial" w:cs="Arial"/>
          <w:noProof/>
          <w:lang w:val="en-US"/>
        </w:rPr>
        <w:drawing>
          <wp:inline distT="0" distB="0" distL="0" distR="0">
            <wp:extent cx="6848475" cy="714375"/>
            <wp:effectExtent l="0" t="0" r="9525" b="9525"/>
            <wp:docPr id="3" name="Picture 3" descr="C:\Program Files (x86)\ParagrafLex\browser\Files\Old\t\t2012_03\t03_0130_s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Program Files (x86)\ParagrafLex\browser\Files\Old\t\t2012_03\t03_0130_s018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B86" w:rsidRPr="009E7B86" w:rsidRDefault="009E7B86" w:rsidP="009E7B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6" w:name="str_7"/>
      <w:bookmarkEnd w:id="16"/>
      <w:r w:rsidRPr="009E7B8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2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8201"/>
      </w:tblGrid>
      <w:tr w:rsidR="009E7B86" w:rsidRPr="009E7B86" w:rsidTr="009E7B86">
        <w:trPr>
          <w:tblCellSpacing w:w="0" w:type="dxa"/>
        </w:trPr>
        <w:tc>
          <w:tcPr>
            <w:tcW w:w="500" w:type="pct"/>
            <w:vMerge w:val="restart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428625" cy="752475"/>
                  <wp:effectExtent l="0" t="0" r="9525" b="9525"/>
                  <wp:docPr id="2" name="Picture 2" descr="C:\Program Files (x86)\ParagrafLex\browser\Files\Old\t\t2012_03\t03_0130_s0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Program Files (x86)\ParagrafLex\browser\Files\Old\t\t2012_03\t03_0130_s0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pct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Republika Srbija 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Agencija za hemikalije </w:t>
            </w:r>
          </w:p>
        </w:tc>
      </w:tr>
    </w:tbl>
    <w:p w:rsidR="009E7B86" w:rsidRPr="009E7B86" w:rsidRDefault="009E7B86" w:rsidP="009E7B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52"/>
      </w:tblGrid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C8C8C"/>
            <w:vAlign w:val="center"/>
            <w:hideMark/>
          </w:tcPr>
          <w:p w:rsidR="009E7B86" w:rsidRPr="009E7B86" w:rsidRDefault="009E7B86" w:rsidP="009E7B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bookmarkStart w:id="17" w:name="str_8"/>
            <w:bookmarkEnd w:id="17"/>
            <w:r w:rsidRPr="009E7B86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t>OBAVEŠTENJE O NAČINU POSTUPANJA SA</w:t>
            </w:r>
            <w:r w:rsidRPr="009E7B86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br/>
              <w:t>OPASNIM HEMIKALIJAMA</w:t>
            </w:r>
          </w:p>
        </w:tc>
      </w:tr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- Pre korišćenja opasnih hemikalija obavezno pročitajte uputstvo proizvođača. Uputstvo sadrži informacije o opasnim svojstvima i bezbednom rukovanju sa opasnim hemikalijama.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- U domaćinstvu hemikalije treba držati u ormaru pod ključem, van domašaja dece.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- Hemikalije ne treba držati u istom ormaru sa hranom i pićem.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 xml:space="preserve">- Hemikalije uvek držati u dobro zatvorenoj originalnoj ambalaži kako bi se onemogućilo </w:t>
            </w:r>
            <w:r w:rsidRPr="009E7B86">
              <w:rPr>
                <w:rFonts w:ascii="Arial" w:eastAsia="Times New Roman" w:hAnsi="Arial" w:cs="Arial"/>
                <w:lang w:eastAsia="sr-Latn-RS"/>
              </w:rPr>
              <w:lastRenderedPageBreak/>
              <w:t>izlivanje sadržaja.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- Nikada ne mešati hemikalije jer se ne mogu predvideti posledice (isparenja otrovnih gasova, požar, eksplozija, itd).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- Hemikalije prilikom korišćenja nikad ne ostavljati otvorene jer u trenutku nepažnje do njih lako mogu doći deca ili domaće životinje što može ugroziti njihovu bezbednost.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- U slučaju trovanja ili sumnje da je došlo do trovanja, treba ostati miran i postupiti u skladu sa uputstvom na pakovanju. Pozvati Centar za kontrolu trovanja radi dobijanja saveta (telefon: 011/266-2381, 011/3608-234), a po potrebi obratiti se svom lekaru.</w:t>
            </w:r>
          </w:p>
        </w:tc>
      </w:tr>
    </w:tbl>
    <w:p w:rsidR="009E7B86" w:rsidRPr="009E7B86" w:rsidRDefault="009E7B86" w:rsidP="009E7B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0E0E0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52"/>
      </w:tblGrid>
      <w:tr w:rsidR="009E7B86" w:rsidRPr="009E7B86" w:rsidTr="009E7B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O SADRŽAJU ETIKETE,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OPASNOSTIMA PO ZDRAVLJE LJUDI I ŽIVOTNU SREDINU,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PRAVILNOM RUKOVANJU OPASNIM HEMIKALIJAMA,</w:t>
            </w:r>
            <w:r w:rsidRPr="009E7B86">
              <w:rPr>
                <w:rFonts w:ascii="Arial" w:eastAsia="Times New Roman" w:hAnsi="Arial" w:cs="Arial"/>
                <w:lang w:eastAsia="sr-Latn-RS"/>
              </w:rPr>
              <w:br/>
              <w:t>MERAMA BEZBEDNOSTI PRILIKOM RUKOVANJA,</w:t>
            </w:r>
          </w:p>
          <w:p w:rsidR="009E7B86" w:rsidRPr="009E7B86" w:rsidRDefault="009E7B86" w:rsidP="009E7B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9E7B86">
              <w:rPr>
                <w:rFonts w:ascii="Arial" w:eastAsia="Times New Roman" w:hAnsi="Arial" w:cs="Arial"/>
                <w:lang w:eastAsia="sr-Latn-RS"/>
              </w:rPr>
              <w:t>OBRATITE SE PRODAVCU.</w:t>
            </w:r>
          </w:p>
        </w:tc>
      </w:tr>
    </w:tbl>
    <w:p w:rsidR="009E7B86" w:rsidRPr="009E7B86" w:rsidRDefault="009E7B86" w:rsidP="009E7B8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>
        <w:rPr>
          <w:rFonts w:ascii="Arial" w:eastAsia="Times New Roman" w:hAnsi="Arial" w:cs="Arial"/>
          <w:noProof/>
          <w:lang w:val="en-US"/>
        </w:rPr>
        <w:drawing>
          <wp:inline distT="0" distB="0" distL="0" distR="0">
            <wp:extent cx="6848475" cy="714375"/>
            <wp:effectExtent l="0" t="0" r="9525" b="9525"/>
            <wp:docPr id="1" name="Picture 1" descr="C:\Program Files (x86)\ParagrafLex\browser\Files\Old\t\t2012_03\t03_0130_s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Program Files (x86)\ParagrafLex\browser\Files\Old\t\t2012_03\t03_0130_s018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8C5" w:rsidRDefault="005658C5"/>
    <w:sectPr w:rsidR="005658C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86"/>
    <w:rsid w:val="005658C5"/>
    <w:rsid w:val="009E7B86"/>
    <w:rsid w:val="00C6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9E7B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9E7B8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9E7B8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9E7B8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9E7B8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9E7B8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9E7B8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60---pododeljak">
    <w:name w:val="wyq060---pododeljak"/>
    <w:basedOn w:val="Normal"/>
    <w:rsid w:val="009E7B86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9E7B8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9E7B86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9E7B86"/>
    <w:rPr>
      <w:sz w:val="15"/>
      <w:szCs w:val="15"/>
      <w:vertAlign w:val="subscript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E7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E7B86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C63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63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63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63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9E7B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9E7B8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9E7B8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9E7B8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9E7B8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9E7B8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9E7B8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60---pododeljak">
    <w:name w:val="wyq060---pododeljak"/>
    <w:basedOn w:val="Normal"/>
    <w:rsid w:val="009E7B86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9E7B8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9E7B86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9E7B86"/>
    <w:rPr>
      <w:sz w:val="15"/>
      <w:szCs w:val="15"/>
      <w:vertAlign w:val="subscript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E7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E7B86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C63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63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63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63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theme" Target="theme/theme1.xml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fontTable" Target="fontTable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2015-07-07T12:22:00Z</dcterms:created>
  <dcterms:modified xsi:type="dcterms:W3CDTF">2018-09-06T12:16:00Z</dcterms:modified>
</cp:coreProperties>
</file>