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5F3" w:rsidRPr="00ED15F3" w:rsidRDefault="00ED15F3" w:rsidP="00ED15F3">
      <w:pPr>
        <w:pStyle w:val="Naslov"/>
        <w:jc w:val="center"/>
        <w:rPr>
          <w:rFonts w:eastAsia="Times New Roman"/>
          <w:lang w:eastAsia="sr-Latn-RS"/>
        </w:rPr>
      </w:pPr>
      <w:r w:rsidRPr="00ED15F3">
        <w:rPr>
          <w:rFonts w:eastAsia="Times New Roman"/>
          <w:lang w:eastAsia="sr-Latn-RS"/>
        </w:rPr>
        <w:t>ZAKON</w:t>
      </w:r>
    </w:p>
    <w:p w:rsidR="00ED15F3" w:rsidRPr="00ED15F3" w:rsidRDefault="00ED15F3" w:rsidP="00ED15F3">
      <w:pPr>
        <w:pStyle w:val="Naslov"/>
        <w:jc w:val="center"/>
        <w:rPr>
          <w:rFonts w:eastAsia="Times New Roman"/>
          <w:lang w:eastAsia="sr-Latn-RS"/>
        </w:rPr>
      </w:pPr>
      <w:r w:rsidRPr="00ED15F3">
        <w:rPr>
          <w:rFonts w:eastAsia="Times New Roman"/>
          <w:lang w:eastAsia="sr-Latn-RS"/>
        </w:rPr>
        <w:t>O POTVRĐIVANJU DOHA AMANDMANA NA KJOTO PROTOKOL UZ OKVIRNU KONVENCIJU UJEDINJENIH NACIJA O PROMENI KLIME</w:t>
      </w:r>
    </w:p>
    <w:p w:rsidR="00ED15F3" w:rsidRDefault="00ED15F3" w:rsidP="00ED15F3">
      <w:pPr>
        <w:pStyle w:val="Podnaslov"/>
        <w:jc w:val="center"/>
        <w:rPr>
          <w:rFonts w:eastAsia="Times New Roman"/>
          <w:lang w:eastAsia="sr-Latn-RS"/>
        </w:rPr>
      </w:pPr>
      <w:r w:rsidRPr="00ED15F3">
        <w:rPr>
          <w:rFonts w:eastAsia="Times New Roman"/>
          <w:lang w:eastAsia="sr-Latn-RS"/>
        </w:rPr>
        <w:t xml:space="preserve">("Sl. glasnik RS - Međunarodni ugovori", br. </w:t>
      </w:r>
      <w:bookmarkStart w:id="0" w:name="_GoBack"/>
      <w:bookmarkEnd w:id="0"/>
      <w:r w:rsidRPr="00ED15F3">
        <w:rPr>
          <w:rFonts w:eastAsia="Times New Roman"/>
          <w:lang w:eastAsia="sr-Latn-RS"/>
        </w:rPr>
        <w:t>2/2017)</w:t>
      </w:r>
    </w:p>
    <w:p w:rsidR="00ED15F3" w:rsidRDefault="00ED15F3" w:rsidP="00ED15F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6E2669" w:rsidRPr="006E2669" w:rsidRDefault="006E2669" w:rsidP="00ED15F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6E2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Potvrđuje se Doha Amandman na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Protokol uz Okvirnu konvenciju Ujedinjenih nacija o promeni klime, usvojen 8. decembra 2012. godine u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Dohi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, u originalu na engleskom, francuskom i ruskom jeziku. </w:t>
      </w:r>
    </w:p>
    <w:p w:rsidR="006E2669" w:rsidRPr="006E2669" w:rsidRDefault="006E2669" w:rsidP="006E2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6E2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Tekst Doha Amandmana na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Protokol uz Okvirnu konvenciju Ujedinjenih nacija o promeni klime, u originalu na engleskom jeziku i u prevodu na srpski jezik glasi: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6E266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DOHA AMANDMAN NA KJOTO PROTOKOL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Član 1: Amandman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 xml:space="preserve">A. Aneks B na </w:t>
      </w:r>
      <w:proofErr w:type="spellStart"/>
      <w:r w:rsidRPr="006E2669">
        <w:rPr>
          <w:rFonts w:ascii="Arial" w:eastAsia="Times New Roman" w:hAnsi="Arial" w:cs="Arial"/>
          <w:b/>
          <w:b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b/>
          <w:bCs/>
          <w:lang w:eastAsia="sr-Latn-RS"/>
        </w:rPr>
        <w:t xml:space="preserve"> Protokol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Sledeća tabela menja tabelu Aneksa B Protokola: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364"/>
        <w:gridCol w:w="1572"/>
        <w:gridCol w:w="1572"/>
        <w:gridCol w:w="2002"/>
        <w:gridCol w:w="1572"/>
        <w:gridCol w:w="1150"/>
      </w:tblGrid>
      <w:tr w:rsidR="006E2669" w:rsidRPr="006E2669" w:rsidTr="006E2669">
        <w:trPr>
          <w:tblCellSpacing w:w="0" w:type="dxa"/>
        </w:trPr>
        <w:tc>
          <w:tcPr>
            <w:tcW w:w="0" w:type="auto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1 </w:t>
            </w:r>
          </w:p>
        </w:tc>
        <w:tc>
          <w:tcPr>
            <w:tcW w:w="0" w:type="auto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2 </w:t>
            </w:r>
          </w:p>
        </w:tc>
        <w:tc>
          <w:tcPr>
            <w:tcW w:w="0" w:type="auto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3 </w:t>
            </w:r>
          </w:p>
        </w:tc>
        <w:tc>
          <w:tcPr>
            <w:tcW w:w="0" w:type="auto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4 </w:t>
            </w:r>
          </w:p>
        </w:tc>
        <w:tc>
          <w:tcPr>
            <w:tcW w:w="0" w:type="auto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5 </w:t>
            </w:r>
          </w:p>
        </w:tc>
        <w:tc>
          <w:tcPr>
            <w:tcW w:w="0" w:type="auto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6 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Strana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>Kvantifikovana</w:t>
            </w:r>
            <w:proofErr w:type="spellEnd"/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obaveza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ograničenja ili smanjenja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količine emisije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(2008-2012) (Procenat od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 xml:space="preserve">bazne godine ili perioda)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>Kvantifikovana</w:t>
            </w:r>
            <w:proofErr w:type="spellEnd"/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obaveza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ograničenja ili smanjenja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količine emisija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(2013-2020) (procenat od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 xml:space="preserve">bazne godine ili perioda)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>Referentna godina</w:t>
            </w:r>
            <w:r w:rsidRPr="006E2669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vertAlign w:val="superscript"/>
                <w:lang w:eastAsia="sr-Latn-RS"/>
              </w:rPr>
              <w:t>1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>Kvantifikovana</w:t>
            </w:r>
            <w:proofErr w:type="spellEnd"/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obaveza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ograničenja ili smanjenja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količine emisija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(2013-2020) (izraženo kao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procenat od referentne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godine)</w:t>
            </w:r>
            <w:r w:rsidRPr="006E2669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vertAlign w:val="superscript"/>
                <w:lang w:eastAsia="sr-Latn-RS"/>
              </w:rPr>
              <w:t>1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>Zalaganja za smanjenje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emisije gasova sa efektom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staklene bašte do 2020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(procenat od referentn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lastRenderedPageBreak/>
              <w:t>e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godine)</w:t>
            </w:r>
            <w:r w:rsidRPr="006E2669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vertAlign w:val="superscript"/>
                <w:lang w:eastAsia="sr-Latn-RS"/>
              </w:rPr>
              <w:t>2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Australija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-5 do -15% ili 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108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99.5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2000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98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-25%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Austrija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Belorusija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5</w:t>
            </w:r>
            <w:r w:rsidRPr="006E2669">
              <w:rPr>
                <w:rFonts w:ascii="Arial" w:eastAsia="Times New Roman" w:hAnsi="Arial" w:cs="Arial"/>
                <w:lang w:eastAsia="sr-Latn-RS"/>
              </w:rPr>
              <w:t xml:space="preserve">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88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1990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-8% 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Belgija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Bugarska*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Hrvatska*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95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6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-20%/-30%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7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Kipar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Češka Republika*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Danska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Estonija*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Evropska unija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1990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-20%/-30%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7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Finska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Francuska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Nemačka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Grčka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Mađarska*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94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Island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110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8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Irska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Italija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6E2669">
              <w:rPr>
                <w:rFonts w:ascii="Arial" w:eastAsia="Times New Roman" w:hAnsi="Arial" w:cs="Arial"/>
                <w:lang w:eastAsia="sr-Latn-RS"/>
              </w:rPr>
              <w:t>Kazahstan</w:t>
            </w:r>
            <w:proofErr w:type="spellEnd"/>
            <w:r w:rsidRPr="006E2669">
              <w:rPr>
                <w:rFonts w:ascii="Arial" w:eastAsia="Times New Roman" w:hAnsi="Arial" w:cs="Arial"/>
                <w:lang w:eastAsia="sr-Latn-RS"/>
              </w:rPr>
              <w:t xml:space="preserve">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95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1990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95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-7% 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Letonija*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Lihtenštajn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84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1990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84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-20%/-30%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9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Litvanija*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Luksemburg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Malta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Monako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78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1990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78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-30% 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Holandija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-30% do 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Norveška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101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84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1990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84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-40%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10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Poljska*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94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Portugalija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Rumunija*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Slovačka*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Slovenija*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Španija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Švedska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-20% do 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Švajcarska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84.2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1990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-30%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11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Ukrajina*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100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76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12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1990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-20% </w:t>
            </w: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Ujedinjeno Kraljevstvo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Velike Britanije i Severne Irske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 w:val="restart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80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92 </w:t>
            </w:r>
          </w:p>
        </w:tc>
        <w:tc>
          <w:tcPr>
            <w:tcW w:w="0" w:type="auto"/>
            <w:vMerge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NP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Strana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>Kvantifikovana</w:t>
            </w:r>
            <w:proofErr w:type="spellEnd"/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t xml:space="preserve"> obaveza 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ograničenja ili smanjenja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količine emisija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>(2008-2012) (procenat od</w:t>
            </w:r>
            <w:r w:rsidRPr="006E2669">
              <w:rPr>
                <w:rFonts w:ascii="Arial" w:eastAsia="Times New Roman" w:hAnsi="Arial" w:cs="Arial"/>
                <w:i/>
                <w:iCs/>
                <w:lang w:eastAsia="sr-Latn-RS"/>
              </w:rPr>
              <w:br/>
              <w:t xml:space="preserve">bazne godine ili perioda) </w:t>
            </w:r>
          </w:p>
        </w:tc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Kanada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13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94 </w:t>
            </w: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Japan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14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94 </w:t>
            </w: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Novi Zeland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15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100 </w:t>
            </w: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Ruska </w:t>
            </w:r>
          </w:p>
        </w:tc>
        <w:tc>
          <w:tcPr>
            <w:tcW w:w="0" w:type="auto"/>
            <w:vAlign w:val="bottom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 xml:space="preserve">100 </w:t>
            </w: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6E2669" w:rsidRPr="006E2669" w:rsidTr="006E2669">
        <w:trPr>
          <w:tblCellSpacing w:w="0" w:type="dxa"/>
        </w:trPr>
        <w:tc>
          <w:tcPr>
            <w:tcW w:w="0" w:type="auto"/>
            <w:hideMark/>
          </w:tcPr>
          <w:p w:rsidR="006E2669" w:rsidRPr="006E2669" w:rsidRDefault="006E2669" w:rsidP="006E26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6E2669">
              <w:rPr>
                <w:rFonts w:ascii="Arial" w:eastAsia="Times New Roman" w:hAnsi="Arial" w:cs="Arial"/>
                <w:lang w:eastAsia="sr-Latn-RS"/>
              </w:rPr>
              <w:t>Federacija</w:t>
            </w:r>
            <w:r w:rsidRPr="006E26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16</w:t>
            </w:r>
            <w:r w:rsidRPr="006E2669">
              <w:rPr>
                <w:rFonts w:ascii="Arial" w:eastAsia="Times New Roman" w:hAnsi="Arial" w:cs="Arial"/>
                <w:lang w:eastAsia="sr-Latn-RS"/>
              </w:rPr>
              <w:t xml:space="preserve">* </w:t>
            </w:r>
          </w:p>
        </w:tc>
        <w:tc>
          <w:tcPr>
            <w:tcW w:w="0" w:type="auto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shd w:val="clear" w:color="auto" w:fill="D9D9D9"/>
            <w:hideMark/>
          </w:tcPr>
          <w:p w:rsidR="006E2669" w:rsidRPr="006E2669" w:rsidRDefault="006E2669" w:rsidP="006E26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Skraćenice: NA=nije primenljivo (NP) </w:t>
      </w:r>
      <w:r w:rsidRPr="006E2669">
        <w:rPr>
          <w:rFonts w:ascii="Arial" w:eastAsia="Times New Roman" w:hAnsi="Arial" w:cs="Arial"/>
          <w:lang w:eastAsia="sr-Latn-RS"/>
        </w:rPr>
        <w:br/>
        <w:t>* Zemlje koje su u procesu prelaska na tržišnu ekonomiju.</w:t>
      </w:r>
      <w:r w:rsidRPr="006E2669">
        <w:rPr>
          <w:rFonts w:ascii="Arial" w:eastAsia="Times New Roman" w:hAnsi="Arial" w:cs="Arial"/>
          <w:lang w:eastAsia="sr-Latn-RS"/>
        </w:rPr>
        <w:br/>
        <w:t>Sve dole pomenute fusnote, sa izuzetkom fusnota 1, 2 i 5, date su kroz obaveštenja odgovarajućih Strana.</w:t>
      </w:r>
      <w:r w:rsidRPr="006E2669">
        <w:rPr>
          <w:rFonts w:ascii="Arial" w:eastAsia="Times New Roman" w:hAnsi="Arial" w:cs="Arial"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 Strana može opciono da koristi referentnu godinu za svoje potrebe, kako bi izrazila svoje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kvantifikovano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ograničenje ili smanjenje količine emisije (u daljem tekstu: QELRC) kao procenat emisije te godine, koje nisu obavezujuće na međunarodnom nivou u okviru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</w:t>
      </w:r>
      <w:r w:rsidRPr="006E2669">
        <w:rPr>
          <w:rFonts w:ascii="Arial" w:eastAsia="Times New Roman" w:hAnsi="Arial" w:cs="Arial"/>
          <w:i/>
          <w:iCs/>
          <w:lang w:eastAsia="sr-Latn-RS"/>
        </w:rPr>
        <w:lastRenderedPageBreak/>
        <w:t>Protokola, pored svojih navedenih QELRC-a, u odnosu na baznu godinu u drugoj i trećoj koloni ove tabele, koje su pravno obavezujuće na međunarodnom nivou.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 Više informacija o ovim zalaganjima, mogu se pronaći u dokumentima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FCCC/SB/2011/INF.1/Rev.1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i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FCCC/KP/AWG/2012/MISC.1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,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Add.1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i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Add.2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3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 QELRC Australije je, u okviru drugog obavezujućeg perioda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Protokola, u skladu sa bezuslovnim ciljem Australije da do 2020. godine dostigne 5% niži nivo količine emisije nego 2000. godine. Australija zadržava mogućnost da se kasnije pomeri sa 5 do 15 ili 25% ispod nivoa količine emisije iz 2000. godine, ako se ispune određeni uslovi. Ovo obaveštenje zadržava status ovih zalaganja, kao datih u okviru Konferencije o klimatskim promenama iz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Kankuna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>, a ne predstavlja novi pravno obavezujući zahtev u okviru ovog protokola ili njegovih povezanih pravila i modaliteta.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4 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QELRC Evropske unije i njenih Država članica se, u okviru drugog obavezujućeg perioda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Protokola, zasniva na činjenici da Evropska unija i njene Države članice zajedno ispunjavaju svoje obaveze, u skladu sa članom 4,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Protokola. QELRC-i ne prejudiciraju sledeće obaveštenje Evropske unije ili njenih Država članica, o sporazumu da zajedno ispunjavaju obaveze u skladu sa odredbama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5 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Amandman usvojen u skladu sa odlukom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10/SMR.2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>, dodat je na Aneks B. Ovaj amandman još uvek nije stupio na snagu.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6 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QELRC Hrvatske se, u okviru drugog obavezujućeg perioda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Protokola, zasniva na činjenici da se zajedno ispunjava sa Evropskom unijom i njenim Državama članicama, u skladu sa članom 4.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Protokola. Kao rezultat toga, pristupanje Hrvatske Evropskoj uniji ne utiče na njeno učešće u zajedničkom ispunjavanju sporazuma, u skladu sa članom 4. ili njenim QELRC-ima. 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7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 Evropska unija ponavlja svoju uslovnu ponudu, kao deo globalnog i iscrpnog sporazuma, za period od 2012. godine, da smanji nivo količine emisije za 30% do 2020. godine, u poređenju sa nivoom iz 1990. godine, pod uslovom da se druge razvijene zemlje obavežu da uporedivo smanje količinu emisije, a zemlje u razvoju odgovarajuće doprinesu smanjenju, prema njihovim odgovornostima i odgovarajućim mogućnostima.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8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 QELRC Islanda se, u okviru drugog obavezujućeg perioda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Protokola, zasniva na činjenici da se zajedno ispunjava sa Evropskom unijom i njenim Državama članicama, u skladu sa članom 4.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Protokola. 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i/>
          <w:iCs/>
          <w:sz w:val="15"/>
          <w:szCs w:val="15"/>
          <w:vertAlign w:val="superscript"/>
          <w:lang w:eastAsia="sr-Latn-RS"/>
        </w:rPr>
        <w:t>9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Predstavljeni QELRC u koloni 3, odnosi se na cilj smanjenja nivoa količine emisije za 20% do 2020. godine. u poređenju sa nivoom iz 1990. godine. Lihtenštajn razmatra činjenicu o većem cilju smanjenja količine emisije do čak 30% do 2020. godine, u poređenju sa nivoom iz 1990. godine, pod uslovom da se druge razvijene zemlje obavežu da uporedivo smanje emisije, a da ekonomski naprednije zemlje u razvoju adekvatno doprinesu smanjenju, prema njihovim odgovornostima i odgovarajućim mogućnostima.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10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 Norveški QELRC od 84%, u skladu je sa njenim ciljem smanjenja nivoa količine emisije za 30% do 2020. godine, u poređenju sa nivoom iz 1990. godine. Ako to može doprineti globalnom i iscrpnom sporazumu, po kome se Strane sa najvišim nivoom emisije slažu u pogledu cilja za smanjenje emisija od 2ºC. Norveška će početi da primenjuje smanjenje nivoa emisije od 40% do 2020. godine, zasnovanom na nivou emisije iz 1990. godine. Ova preporuka zadržava status zalaganja na osnovu Konferencije o klimatskim promenama iz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Kankuna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i ne predstavlja novi pravno obavezujući zahtev ovog protokola.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11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Predstavljeni QELCR u koloni 3, odnosi se na cilj smanjenja nivoa količine emisije od 20% do 2020. godine, u poređenju sa nivoom iz 1990. godine. Švajcarska razmatra činjenicu o većem cilju smanjenja nivoa količine emisije do čak 30% do 2020. godine, u poređenju sa nivoom iz 1990. godine, koja je predmet obaveze uporedivog smanjenja obaveze količine emisije iz drugih razvijenih zemalja i odgovarajućeg doprinosa od zemalja u razvoju, na osnovu njihovih odgovornosti i mogućnosti, u skladu sa ciljem od 2ºC. Ova preporuka zadržava status obećanja na osnovu Konferencije o klimatskim promenama iz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Kankuna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i predstavlja novi pravno obavezujući zahtev ovog protokola. 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12 </w:t>
      </w:r>
      <w:r w:rsidRPr="006E2669">
        <w:rPr>
          <w:rFonts w:ascii="Arial" w:eastAsia="Times New Roman" w:hAnsi="Arial" w:cs="Arial"/>
          <w:i/>
          <w:iCs/>
          <w:lang w:eastAsia="sr-Latn-RS"/>
        </w:rPr>
        <w:t>Ne prihvata se bilo koje otkazivanje ili ograničenje upotrebe ove legitimno stečene suverene imovine, koja treba da bude u potpunosti prenosiva.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13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Depozitar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je primio pismeno obaveštenje o povlačenju Kanade iz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protokola, 15. </w:t>
      </w:r>
      <w:r w:rsidRPr="006E2669">
        <w:rPr>
          <w:rFonts w:ascii="Arial" w:eastAsia="Times New Roman" w:hAnsi="Arial" w:cs="Arial"/>
          <w:i/>
          <w:iCs/>
          <w:lang w:eastAsia="sr-Latn-RS"/>
        </w:rPr>
        <w:lastRenderedPageBreak/>
        <w:t>decembra 2011. godine. Ovo stupa na snagu 15. decembra 2012. godine.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14 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U obaveštenju od 10. decembra 2010. godine, Japan je naglasio da ne namerava da prihvati obaveze iz drugog obavezujućeg perioda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 posle 2012. godine.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15 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Novi Zeland ostaje Strana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Protokola. To bi značilo uspostavljanje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kvantifikovanog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cilja smanjenja emisija u čitavom privrednom sektoru pod Okvirnom Konvencijom Ujedinjenih nacija o klimatskim promenama, u periodu od 2013. do 2020. godine.</w:t>
      </w:r>
      <w:r w:rsidRPr="006E2669">
        <w:rPr>
          <w:rFonts w:ascii="Arial" w:eastAsia="Times New Roman" w:hAnsi="Arial" w:cs="Arial"/>
          <w:i/>
          <w:iCs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16 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U obaveštenju od 8. decembra 2010. godine, a koji je Sekretarijat primio 9. decembra 2010. godine, Ruska Federacija je naglasila da ne namerava da preuzima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kvantifikovana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ograničenja ili smanjenja količine emisije tokom drugog obavezujućeg perioda </w:t>
      </w:r>
      <w:proofErr w:type="spellStart"/>
      <w:r w:rsidRPr="006E2669">
        <w:rPr>
          <w:rFonts w:ascii="Arial" w:eastAsia="Times New Roman" w:hAnsi="Arial" w:cs="Arial"/>
          <w:i/>
          <w:i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Protokola.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 xml:space="preserve">B. Aneks A na </w:t>
      </w:r>
      <w:proofErr w:type="spellStart"/>
      <w:r w:rsidRPr="006E2669">
        <w:rPr>
          <w:rFonts w:ascii="Arial" w:eastAsia="Times New Roman" w:hAnsi="Arial" w:cs="Arial"/>
          <w:b/>
          <w:bCs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b/>
          <w:bCs/>
          <w:lang w:eastAsia="sr-Latn-RS"/>
        </w:rPr>
        <w:t xml:space="preserve"> Protokol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Sledeća tabela zamenjuje listu pod nazivom "Gasovi sa efektom staklene bašte" u Aneksu A ovog protokola: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Gasovi sa efektom staklene bašte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>Karbon dioksid (CO</w:t>
      </w:r>
      <w:r w:rsidRPr="006E2669">
        <w:rPr>
          <w:rFonts w:ascii="Arial" w:eastAsia="Times New Roman" w:hAnsi="Arial" w:cs="Arial"/>
          <w:sz w:val="15"/>
          <w:szCs w:val="15"/>
          <w:vertAlign w:val="subscript"/>
          <w:lang w:eastAsia="sr-Latn-RS"/>
        </w:rPr>
        <w:t>2</w:t>
      </w:r>
      <w:r w:rsidRPr="006E2669">
        <w:rPr>
          <w:rFonts w:ascii="Arial" w:eastAsia="Times New Roman" w:hAnsi="Arial" w:cs="Arial"/>
          <w:lang w:eastAsia="sr-Latn-RS"/>
        </w:rPr>
        <w:t xml:space="preserve">)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>Metan (CH</w:t>
      </w:r>
      <w:r w:rsidRPr="006E2669">
        <w:rPr>
          <w:rFonts w:ascii="Arial" w:eastAsia="Times New Roman" w:hAnsi="Arial" w:cs="Arial"/>
          <w:sz w:val="15"/>
          <w:szCs w:val="15"/>
          <w:vertAlign w:val="subscript"/>
          <w:lang w:eastAsia="sr-Latn-RS"/>
        </w:rPr>
        <w:t>4</w:t>
      </w:r>
      <w:r w:rsidRPr="006E2669">
        <w:rPr>
          <w:rFonts w:ascii="Arial" w:eastAsia="Times New Roman" w:hAnsi="Arial" w:cs="Arial"/>
          <w:lang w:eastAsia="sr-Latn-RS"/>
        </w:rPr>
        <w:t xml:space="preserve">)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>Azot oksid (N</w:t>
      </w:r>
      <w:r w:rsidRPr="006E2669">
        <w:rPr>
          <w:rFonts w:ascii="Arial" w:eastAsia="Times New Roman" w:hAnsi="Arial" w:cs="Arial"/>
          <w:sz w:val="15"/>
          <w:szCs w:val="15"/>
          <w:vertAlign w:val="subscript"/>
          <w:lang w:eastAsia="sr-Latn-RS"/>
        </w:rPr>
        <w:t>2</w:t>
      </w:r>
      <w:r w:rsidRPr="006E2669">
        <w:rPr>
          <w:rFonts w:ascii="Arial" w:eastAsia="Times New Roman" w:hAnsi="Arial" w:cs="Arial"/>
          <w:lang w:eastAsia="sr-Latn-RS"/>
        </w:rPr>
        <w:t xml:space="preserve">O)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6E2669">
        <w:rPr>
          <w:rFonts w:ascii="Arial" w:eastAsia="Times New Roman" w:hAnsi="Arial" w:cs="Arial"/>
          <w:lang w:eastAsia="sr-Latn-RS"/>
        </w:rPr>
        <w:t>Hidrofluorougljenici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(</w:t>
      </w:r>
      <w:proofErr w:type="spellStart"/>
      <w:r w:rsidRPr="006E2669">
        <w:rPr>
          <w:rFonts w:ascii="Arial" w:eastAsia="Times New Roman" w:hAnsi="Arial" w:cs="Arial"/>
          <w:lang w:eastAsia="sr-Latn-RS"/>
        </w:rPr>
        <w:t>HFCs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)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6E2669">
        <w:rPr>
          <w:rFonts w:ascii="Arial" w:eastAsia="Times New Roman" w:hAnsi="Arial" w:cs="Arial"/>
          <w:lang w:eastAsia="sr-Latn-RS"/>
        </w:rPr>
        <w:t>Perfluorougljenici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(</w:t>
      </w:r>
      <w:proofErr w:type="spellStart"/>
      <w:r w:rsidRPr="006E2669">
        <w:rPr>
          <w:rFonts w:ascii="Arial" w:eastAsia="Times New Roman" w:hAnsi="Arial" w:cs="Arial"/>
          <w:lang w:eastAsia="sr-Latn-RS"/>
        </w:rPr>
        <w:t>PFCs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)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Sumpor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heksafluorid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(SF</w:t>
      </w:r>
      <w:r w:rsidRPr="006E2669">
        <w:rPr>
          <w:rFonts w:ascii="Arial" w:eastAsia="Times New Roman" w:hAnsi="Arial" w:cs="Arial"/>
          <w:sz w:val="15"/>
          <w:szCs w:val="15"/>
          <w:vertAlign w:val="subscript"/>
          <w:lang w:eastAsia="sr-Latn-RS"/>
        </w:rPr>
        <w:t>6</w:t>
      </w:r>
      <w:r w:rsidRPr="006E2669">
        <w:rPr>
          <w:rFonts w:ascii="Arial" w:eastAsia="Times New Roman" w:hAnsi="Arial" w:cs="Arial"/>
          <w:lang w:eastAsia="sr-Latn-RS"/>
        </w:rPr>
        <w:t xml:space="preserve">)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Azot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trifluorid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(NF</w:t>
      </w:r>
      <w:r w:rsidRPr="006E2669">
        <w:rPr>
          <w:rFonts w:ascii="Arial" w:eastAsia="Times New Roman" w:hAnsi="Arial" w:cs="Arial"/>
          <w:sz w:val="15"/>
          <w:szCs w:val="15"/>
          <w:vertAlign w:val="subscript"/>
          <w:lang w:eastAsia="sr-Latn-RS"/>
        </w:rPr>
        <w:t>3</w:t>
      </w:r>
      <w:r w:rsidRPr="006E2669">
        <w:rPr>
          <w:rFonts w:ascii="Arial" w:eastAsia="Times New Roman" w:hAnsi="Arial" w:cs="Arial"/>
          <w:lang w:eastAsia="sr-Latn-RS"/>
        </w:rPr>
        <w:t>)</w:t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>_________</w:t>
      </w:r>
      <w:r w:rsidRPr="006E2669">
        <w:rPr>
          <w:rFonts w:ascii="Arial" w:eastAsia="Times New Roman" w:hAnsi="Arial" w:cs="Arial"/>
          <w:lang w:eastAsia="sr-Latn-RS"/>
        </w:rPr>
        <w:br/>
      </w:r>
      <w:r w:rsidRPr="006E26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</w:t>
      </w:r>
      <w:r w:rsidRPr="006E2669">
        <w:rPr>
          <w:rFonts w:ascii="Arial" w:eastAsia="Times New Roman" w:hAnsi="Arial" w:cs="Arial"/>
          <w:i/>
          <w:iCs/>
          <w:lang w:eastAsia="sr-Latn-RS"/>
        </w:rPr>
        <w:t xml:space="preserve"> Primenjuje se samo od početka drugog perioda obaveza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C. Član 3, stav 1 bis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Posle stava 1, člana 3. ovog protokola dodaje se sledeći stav: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"1 dodatak. Strane uključene u Aneks 1 će, pojedinačno ili zajednički, obezbediti da njihove ukupne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antropogene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emisije gasova sa efektom staklene bašte navedene u Aneksu A i izražene preko ekvivalenta ugljen dioksida, ne prelaze njihove dodeljene jedinice, izračunate preko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kvantifikovanih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obaveza ograničenja ili smanjenja emisija predstavljenih u trećoj koloni tabele iz Aneksa B i u skladu sa odredbama ovog člana, a u cilju ukupnog smanjenja emisija tih gasova za najmanje 18% u odnosu na emisije 1990. godine, u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obavezujućem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periodu od 2013. do 2020. godine.".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D. Član 3, stav 1 ter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Posle stava 1 bis člana 3. ovog protokola dodaje se sledeći stav: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"1 ter. Strana uključena u Aneks B može predložiti promenu kako bi smanjila procenat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kvantifikovane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obaveze ograničenja ili smanjenja emisija prikazanog u trećoj koloni Aneksa </w:t>
      </w:r>
      <w:r w:rsidRPr="006E2669">
        <w:rPr>
          <w:rFonts w:ascii="Arial" w:eastAsia="Times New Roman" w:hAnsi="Arial" w:cs="Arial"/>
          <w:lang w:eastAsia="sr-Latn-RS"/>
        </w:rPr>
        <w:lastRenderedPageBreak/>
        <w:t xml:space="preserve">B. Ovakav predlog Sekretarijat dostavlja Stranama, najkasnije tri meseca pre sastanka Konferencije Strana, koji služi i kao sastanak Strana ovog protokola, na kojem se predlaže za usvajanje.".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 xml:space="preserve">E. Član 3, stav 1 </w:t>
      </w:r>
      <w:proofErr w:type="spellStart"/>
      <w:r w:rsidRPr="006E2669">
        <w:rPr>
          <w:rFonts w:ascii="Arial" w:eastAsia="Times New Roman" w:hAnsi="Arial" w:cs="Arial"/>
          <w:b/>
          <w:bCs/>
          <w:lang w:eastAsia="sr-Latn-RS"/>
        </w:rPr>
        <w:t>quater</w:t>
      </w:r>
      <w:proofErr w:type="spellEnd"/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Posle stava 1 ter, člana 3. ovog protokola dodaje se sledeći stav: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"1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quater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. Konferencija Strana, koja služi i kao sastanak Strana ovog protokola, smatra usvojenom predloženu promenu Strane uključene u Aneks I da poveća cilj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kvantifikovane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obaveze ograničenja ili smanjenja emisija, u skladu sa članom 3, stav 1 ter, osim kada se više od tri četvrtine Strana, koje su prisutne i glasaju, protivi ovom usvajanju. Usvojene promene Sekretarijat dostavlja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Depozitaru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, koji to prosleđuje svim Stranama, a promene stupaju na snagu 1. januara naredne godine u odnosu na godinu kada je obaveštenje dobijeno od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Depozitara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. Takve promene su pravno obavezujuće Stranama.".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F. Član 3, stav 7 bis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Posle stava 7, člana 3. ovog protokola dodaje se sledeći stav: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"7 bis. U drugom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obavezujućem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periodu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kvantifikovanih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obaveza ograničenja ili smanjenja emisija, od 2013. do 2020. godine, dodeljena količina jedinica za svaku Stranu uključenu u Aneks I, jednaka je procentu, određenom za tu stranu u trećoj koloni tabele sadržane u Aneksu B, njenih ukupnih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antropogenih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emisija gasova sa efektom staklene bašte, izraženih kao ekvivalent ugljen dioksida, navedenih u Aneksu A iz 1990. godine, ili emisija bazne godine ili perioda određenih u skladu sa prethodnim stavom 5, pomnoženom sa 8. Strane uključene u Aneks I, za koje je promena korišćenja zemljišta i šumarstvo neto izvor emisija gasova sa efektom staklene bašte 1990. godine, uključiće u emisije za baznu 1990. godinu ili period ukupne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antropogene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emisije gasova, izražene kao ekvivalent ugljen dioksida, iz izvora minus odstranjene količine putem ponora iz 1990. godine, iz promene korišćenja zemljišta, za izračunavanje njihovih dodeljenih količina jedinica.".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G. Član 3, stav 7 ter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Posle stava 7 bis, člana 3. ovog protokola dodaje se sledeći stav: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"7 ter. Svaka pozitivna razlika između dodeljene količine za drugi obavezujući period za Stranu uključenu u Aneks I i prosečne godišnje emisije za prve tri godine prethodnog perioda pomnožena sa osam, prenosi se na račun otkazivanja te Strane.".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 xml:space="preserve">H. Član 3, stav 8.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U stavu 8, člana 3. ovog protokola, reči: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"proračun koji se odnosi na gore pomenuti stav 7."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zamenjuju se rečima: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"proračuni koji se odnose na gore navedeni stav 7. i 7 bis".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 xml:space="preserve">I. Član 3, stav 8 bis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Posle stava 8, člana 3. ovog protokola dodaje se sledeći stav: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lastRenderedPageBreak/>
        <w:t xml:space="preserve">"8 bis. Svaka Strana uključena u Aneks I može koristiti, za potrebe proračuna, 1995. ili 2000. godine kao svoju baznu godinu za azot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trifluorid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, koji se odnosi na stav 7.".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J. Član 3, stavovi 12 bis i ter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Posle stava 12, člana 3. ovog protokola dodaju se sledeći stavovi: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"12 bis. Strane uključene u Aneks I mogu koristiti svaku jedinicu koja je proistekla iz tržišnih mehanizama, koji su uspostavljeni pod Konvencijom ili njenim instrumentima, kako bi postigle svoje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kvantifikovane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obaveze ograničenja ili smanjenja emisija iz člana 3. Svaka takva jedinica, koju Strana dobija od druge Strane Konvencije, dodaje se dodeljenoj količini jedinica za Stranu primaoca i oduzima od količine jedinica koje su u vlasništvu Strane davaoca.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12 ter. Konferencija Strana koja služi kao sastanak Strana Protokola, obezbeđuje da se, tamo gde se jedinice iz odobrenih aktivnosti tržišnih mehanizama kao što je definisano u stavu 12 bis koriste od Strane uključene u Aneks I za postizanje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kvantifikovanih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obaveza ograničenja ili smanjenja emisija iz člana 3, deo jedinica koristi za pokrivanje administrativnih troškova, kao i za pomoć Stranama koje su zemlje u razvoju i koje su posebno pogođene negativnim uticajima promene klime kako bi pokrile troškove adaptacije, ako su ove jedinice stečene u skladu sa članom 17.".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K. Član 4, stav 2.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Na kraju prve rečenice stava 2, člana 4. Protokola dodaju se reči: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"ili na dan deponovanja svih instrumenata o prihvatanju bilo kog amandmana na Aneks B, u skladu sa članom 3, stav 9.".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L. Član 4, stav 3.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U stavu 3, člana 4. ovog protokola, reči: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"stav 7"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zamenjuju se rečima: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"na koji se odnosi".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b/>
          <w:bCs/>
          <w:lang w:eastAsia="sr-Latn-RS"/>
        </w:rPr>
        <w:t>Član 2: Stupanje na snagu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Ovaj amandman stupa na snagu u skladu sa čl. 20. i 21. </w:t>
      </w:r>
      <w:proofErr w:type="spellStart"/>
      <w:r w:rsidRPr="006E2669">
        <w:rPr>
          <w:rFonts w:ascii="Arial" w:eastAsia="Times New Roman" w:hAnsi="Arial" w:cs="Arial"/>
          <w:lang w:eastAsia="sr-Latn-RS"/>
        </w:rPr>
        <w:t>Kjoto</w:t>
      </w:r>
      <w:proofErr w:type="spellEnd"/>
      <w:r w:rsidRPr="006E2669">
        <w:rPr>
          <w:rFonts w:ascii="Arial" w:eastAsia="Times New Roman" w:hAnsi="Arial" w:cs="Arial"/>
          <w:lang w:eastAsia="sr-Latn-RS"/>
        </w:rPr>
        <w:t xml:space="preserve"> Protokola. </w:t>
      </w:r>
    </w:p>
    <w:p w:rsidR="006E2669" w:rsidRPr="006E2669" w:rsidRDefault="006E2669" w:rsidP="006E2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6E2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Za sprovođenje međunarodnih obaveza preuzetih ovim zakonom, nadležno je ministarstvo nadležno za poslove zaštite životne sredine. </w:t>
      </w:r>
    </w:p>
    <w:p w:rsidR="006E2669" w:rsidRPr="006E2669" w:rsidRDefault="006E2669" w:rsidP="006E26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6E26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6E2669" w:rsidRPr="006E2669" w:rsidRDefault="006E2669" w:rsidP="006E26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6E2669">
        <w:rPr>
          <w:rFonts w:ascii="Arial" w:eastAsia="Times New Roman" w:hAnsi="Arial" w:cs="Arial"/>
          <w:lang w:eastAsia="sr-Latn-RS"/>
        </w:rPr>
        <w:t xml:space="preserve">Ovaj zakon stupa na snagu osmog dana od dana objavljivanja u "Službenom glasniku Republike Srbije - Međunarodni ugovori". </w:t>
      </w:r>
    </w:p>
    <w:p w:rsidR="00A13ECC" w:rsidRDefault="00A13ECC"/>
    <w:sectPr w:rsidR="00A13EC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669"/>
    <w:rsid w:val="006E2669"/>
    <w:rsid w:val="00A13ECC"/>
    <w:rsid w:val="00ED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6E266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6E2669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6E266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6E266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6E266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aslov2">
    <w:name w:val="naslov2"/>
    <w:basedOn w:val="Normal"/>
    <w:rsid w:val="006E2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podnaslovpropisa">
    <w:name w:val="podnaslovpropisa"/>
    <w:basedOn w:val="Normal"/>
    <w:rsid w:val="006E266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character" w:customStyle="1" w:styleId="stepen1">
    <w:name w:val="stepen1"/>
    <w:basedOn w:val="Podrazumevanifontpasusa"/>
    <w:rsid w:val="006E2669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6E2669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ED15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ED15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D15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ED15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6E2669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6E2669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6E266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6E266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6E266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aslov2">
    <w:name w:val="naslov2"/>
    <w:basedOn w:val="Normal"/>
    <w:rsid w:val="006E26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podnaslovpropisa">
    <w:name w:val="podnaslovpropisa"/>
    <w:basedOn w:val="Normal"/>
    <w:rsid w:val="006E266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character" w:customStyle="1" w:styleId="stepen1">
    <w:name w:val="stepen1"/>
    <w:basedOn w:val="Podrazumevanifontpasusa"/>
    <w:rsid w:val="006E2669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6E2669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ED15F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ED15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D15F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ED15F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9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2111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2017-05-11T09:08:00Z</dcterms:created>
  <dcterms:modified xsi:type="dcterms:W3CDTF">2018-09-07T07:19:00Z</dcterms:modified>
</cp:coreProperties>
</file>