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A71" w:rsidRPr="00935A71" w:rsidRDefault="00935A71" w:rsidP="00935A7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35A71">
        <w:rPr>
          <w:rFonts w:asciiTheme="majorHAnsi" w:hAnsiTheme="majorHAnsi" w:cstheme="majorBidi"/>
          <w:color w:val="17365D" w:themeColor="text2" w:themeShade="BF"/>
          <w:lang w:eastAsia="sr-Latn-RS"/>
        </w:rPr>
        <w:t>UREDBA</w:t>
      </w:r>
    </w:p>
    <w:p w:rsidR="00935A71" w:rsidRPr="00935A71" w:rsidRDefault="00935A71" w:rsidP="00935A71">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35A71">
        <w:rPr>
          <w:rFonts w:asciiTheme="majorHAnsi" w:hAnsiTheme="majorHAnsi" w:cstheme="majorBidi"/>
          <w:color w:val="17365D" w:themeColor="text2" w:themeShade="BF"/>
          <w:lang w:eastAsia="sr-Latn-RS"/>
        </w:rPr>
        <w:t>O NAČINU IMENOVANJA I OVLAŠĆIVANJA TELA ZA OCENJIVANJE USAGLAŠENOSTI</w:t>
      </w:r>
    </w:p>
    <w:p w:rsidR="0085241C" w:rsidRDefault="00935A71" w:rsidP="00935A71">
      <w:pPr>
        <w:pStyle w:val="Podnaslov"/>
        <w:numPr>
          <w:ilvl w:val="0"/>
          <w:numId w:val="0"/>
        </w:numPr>
        <w:jc w:val="center"/>
        <w:rPr>
          <w:rFonts w:asciiTheme="majorHAnsi" w:hAnsiTheme="majorHAnsi" w:cstheme="majorBidi"/>
          <w:color w:val="4F81BD" w:themeColor="accent1"/>
          <w:lang w:eastAsia="sr-Latn-RS"/>
        </w:rPr>
      </w:pPr>
      <w:r w:rsidRPr="00935A71">
        <w:rPr>
          <w:rFonts w:asciiTheme="majorHAnsi" w:hAnsiTheme="majorHAnsi" w:cstheme="majorBidi"/>
          <w:color w:val="4F81BD" w:themeColor="accent1"/>
          <w:lang w:eastAsia="sr-Latn-RS"/>
        </w:rPr>
        <w:t>("Sl. glasnik RS", br. 98/2009)</w:t>
      </w:r>
      <w:r w:rsidR="0085241C" w:rsidRPr="00935A71">
        <w:rPr>
          <w:rFonts w:asciiTheme="majorHAnsi" w:hAnsiTheme="majorHAnsi" w:cstheme="majorBidi"/>
          <w:color w:val="4F81BD" w:themeColor="accent1"/>
          <w:lang w:eastAsia="sr-Latn-RS"/>
        </w:rPr>
        <w:t> </w:t>
      </w:r>
    </w:p>
    <w:p w:rsidR="00935A71" w:rsidRPr="00935A71" w:rsidRDefault="00935A71" w:rsidP="00935A71">
      <w:pPr>
        <w:rPr>
          <w:lang w:val="sr-Latn-RS" w:eastAsia="sr-Latn-RS"/>
        </w:rPr>
      </w:pPr>
      <w:bookmarkStart w:id="0" w:name="_GoBack"/>
      <w:bookmarkEnd w:id="0"/>
    </w:p>
    <w:p w:rsidR="0085241C" w:rsidRPr="0085241C" w:rsidRDefault="0085241C" w:rsidP="0085241C">
      <w:pPr>
        <w:spacing w:after="0" w:line="240" w:lineRule="auto"/>
        <w:jc w:val="center"/>
        <w:rPr>
          <w:rFonts w:ascii="Arial" w:eastAsia="Times New Roman" w:hAnsi="Arial" w:cs="Arial"/>
          <w:sz w:val="31"/>
          <w:szCs w:val="31"/>
          <w:lang w:val="sr-Latn-RS"/>
        </w:rPr>
      </w:pPr>
      <w:bookmarkStart w:id="1" w:name="str_1"/>
      <w:bookmarkEnd w:id="1"/>
      <w:r w:rsidRPr="0085241C">
        <w:rPr>
          <w:rFonts w:ascii="Arial" w:eastAsia="Times New Roman" w:hAnsi="Arial" w:cs="Arial"/>
          <w:sz w:val="31"/>
          <w:szCs w:val="31"/>
          <w:lang w:val="sr-Latn-RS"/>
        </w:rPr>
        <w:t xml:space="preserve">I UVODNA ODREDBA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2" w:name="clan_1"/>
      <w:bookmarkEnd w:id="2"/>
      <w:r w:rsidRPr="0085241C">
        <w:rPr>
          <w:rFonts w:ascii="Arial" w:eastAsia="Times New Roman" w:hAnsi="Arial" w:cs="Arial"/>
          <w:b/>
          <w:bCs/>
          <w:sz w:val="24"/>
          <w:szCs w:val="24"/>
          <w:lang w:val="sr-Latn-RS"/>
        </w:rPr>
        <w:t xml:space="preserve">Član 1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Ovom uredbom uređuju se način imenovanja i ovlašćivanja tela za ocenjivanje usaglašenosti, utvrđivanja ispunjenosti propisanih zahteva za imenovanje, odnosno ovlašćivanje tela za ocenjivanje usaglašenosti, prijavljivanja tela za ocenjivanje usaglašenosti, kao i oduzimanja odobrenja za sprovođenje ocenjivanja usaglašenosti. </w:t>
      </w:r>
    </w:p>
    <w:p w:rsidR="0085241C" w:rsidRPr="0085241C" w:rsidRDefault="0085241C" w:rsidP="0085241C">
      <w:pPr>
        <w:spacing w:after="0" w:line="240" w:lineRule="auto"/>
        <w:jc w:val="center"/>
        <w:rPr>
          <w:rFonts w:ascii="Arial" w:eastAsia="Times New Roman" w:hAnsi="Arial" w:cs="Arial"/>
          <w:sz w:val="31"/>
          <w:szCs w:val="31"/>
          <w:lang w:val="sr-Latn-RS"/>
        </w:rPr>
      </w:pPr>
      <w:bookmarkStart w:id="3" w:name="str_2"/>
      <w:bookmarkEnd w:id="3"/>
      <w:r w:rsidRPr="0085241C">
        <w:rPr>
          <w:rFonts w:ascii="Arial" w:eastAsia="Times New Roman" w:hAnsi="Arial" w:cs="Arial"/>
          <w:sz w:val="31"/>
          <w:szCs w:val="31"/>
          <w:lang w:val="sr-Latn-RS"/>
        </w:rPr>
        <w:t xml:space="preserve">II NAČIN IMENOVANJA I PRIJAVLJIVANJA TELA ZA OCENJIVANJE USAGLAŠENOSTI, KAO I ODUZIMANJA ODOBRENJA ZA SPROVOĐENJE OCENJIVANJA USAGLAŠENOSTI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4" w:name="clan_2"/>
      <w:bookmarkEnd w:id="4"/>
      <w:r w:rsidRPr="0085241C">
        <w:rPr>
          <w:rFonts w:ascii="Arial" w:eastAsia="Times New Roman" w:hAnsi="Arial" w:cs="Arial"/>
          <w:b/>
          <w:bCs/>
          <w:sz w:val="24"/>
          <w:szCs w:val="24"/>
          <w:lang w:val="sr-Latn-RS"/>
        </w:rPr>
        <w:t xml:space="preserve">Član 2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Imenovanje tela za ocenjivanje usaglašenosti za sprovođenje ocenjivanja usaglašenosti proizvoda sa zahtevima iz određenog tehničkog propisa vrši se na osnovu zahteva za imenovanje, koji podnosi telo za ocenjivanje usaglašenosti (u daljem tekstu: podnosilac zahteva).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Zahtev iz stava 1. ovog člana, podnosi se ministarstvu u čijem delokrugu je priprema i donošenje odgovarajućeg tehničkog propisa na osnovu koga se traži imenovanje (u daljem tekstu: nadležno ministarstvo).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Podnosilac zahteva snosi troškove postupka imenovanja koji obuhvataju troškove za rad Komisije za imenovanje (u daljem tekstu: Komisija).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5" w:name="clan_3"/>
      <w:bookmarkEnd w:id="5"/>
      <w:r w:rsidRPr="0085241C">
        <w:rPr>
          <w:rFonts w:ascii="Arial" w:eastAsia="Times New Roman" w:hAnsi="Arial" w:cs="Arial"/>
          <w:b/>
          <w:bCs/>
          <w:sz w:val="24"/>
          <w:szCs w:val="24"/>
          <w:lang w:val="sr-Latn-RS"/>
        </w:rPr>
        <w:t xml:space="preserve">Član 3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Zahtev iz člana 2. ove uredbe sadrži: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1) poslovno ime, odnosno naziv i adresu sedišta, pravni položaj, organizacionu strukturu i pretežnu delatnost podnosioca zahteva;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lastRenderedPageBreak/>
        <w:t xml:space="preserve">2) naziv tehničkog propisa na osnovu koga se traži imenovanje i broj službenog glasila Republike Srbije u kome je taj propis objavljen;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3) obim poslova ocenjivanja usaglašenosti, kao i vrstu, grupu, odnosno naziv proizvoda koji je predmet ocenjivanja usaglašenosti i druge podatke radi bliže identifikacije proizvoda, sa pozivom na odgovarajuće odredbe tehničkog propisa;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4) podatke o stručnoj osposobljenosti zaposlenih i drugih angažovanih lica na poslovima ocenjivanja usaglašenosti (u daljem tekstu: osoblje);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5) podatke o tehničkim kapacitetima, uključujući opremu i lokaciju na kojoj će se obavljati poslovi ocenjivanja usaglašenosti;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6) podatke o drugim delatnostima koje obavlja podnosilac zahteva, uključujući i delatnosti koje bi mogle uticati na nezavisnost i nepristrasnost podnosioca zahteva, njegovog direktora, odnosno najvišeg rukovodstva i osoblja u odnosu na lica povezana sa proizvodom koji je predmet ocenjivanja usaglašenosti;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7) podatke o načinu na koji je podnosilac zahteva uredio postupanje i odlučivanje po prigovorima na njegov rad i donete odluke u vezi sa poslovima ocenjivanja usaglašenosti, kao i podatke o načinu čuvanja poslovne tajne;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8) naziv isprave kojom se dokazuje osposobljenost podnosioca zahteva za ocenjivanje usaglašenosti (npr. akt o akreditaciji);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9) podatke o zaključenom ugovoru o osiguranju od odgovornosti za štetu;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10) druge podatke od značaja za imenovanje.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Uz zahtev iz stava 1. ovog člana podnose se dokazi kojima se potvrđuju navodi iz zahteva, kao i dokaz o plaćenoj republičkoj administrativnoj taksi u skladu sa zakonom.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6" w:name="clan_4"/>
      <w:bookmarkEnd w:id="6"/>
      <w:r w:rsidRPr="0085241C">
        <w:rPr>
          <w:rFonts w:ascii="Arial" w:eastAsia="Times New Roman" w:hAnsi="Arial" w:cs="Arial"/>
          <w:b/>
          <w:bCs/>
          <w:sz w:val="24"/>
          <w:szCs w:val="24"/>
          <w:lang w:val="sr-Latn-RS"/>
        </w:rPr>
        <w:t xml:space="preserve">Član 4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Ispunjenost zahteva za imenovanje u skladu sa tehničkim propisom iz člana 3. stav 1. tačka 2) ove uredbe, utvrđuje Komisija koju, za oblast jednog ili više tehničkih propisa, obrazuje nadležni ministar.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Komisiju sačinjavaju najmanje tri člana, i to: najmanje jedan predstavnik nadležnog ministarstva; predstavnik Akreditacionog tela Srbije koji nije učestvovao u postupku akreditacije; predstavnik Instituta za standardizaciju Srbije.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Članovi Komisije iz stava 2. ovog člana mogu imati zamenike.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Po potrebi, u radu Komisije mogu učestvovati i drugi stručnjaci, izvan nadležnog ministarstva, za oblast koja je uređena odgovarajućim srpskim tehničkim propisom.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Radom Komisije rukovodi predstavnik nadležnog ministarstva.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7" w:name="clan_5"/>
      <w:bookmarkEnd w:id="7"/>
      <w:r w:rsidRPr="0085241C">
        <w:rPr>
          <w:rFonts w:ascii="Arial" w:eastAsia="Times New Roman" w:hAnsi="Arial" w:cs="Arial"/>
          <w:b/>
          <w:bCs/>
          <w:sz w:val="24"/>
          <w:szCs w:val="24"/>
          <w:lang w:val="sr-Latn-RS"/>
        </w:rPr>
        <w:lastRenderedPageBreak/>
        <w:t xml:space="preserve">Član 5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Prilikom razmatranja podnetog zahteva i priloženih dokaza, Komisija može da, radi utvrđivanja odlučnih činjenica, odnosno razjašnjenja bitnih okolnosti, izvrši proveru ispunjenosti zahteva utvrđenih u tehničkom propisu.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8" w:name="clan_6"/>
      <w:bookmarkEnd w:id="8"/>
      <w:r w:rsidRPr="0085241C">
        <w:rPr>
          <w:rFonts w:ascii="Arial" w:eastAsia="Times New Roman" w:hAnsi="Arial" w:cs="Arial"/>
          <w:b/>
          <w:bCs/>
          <w:sz w:val="24"/>
          <w:szCs w:val="24"/>
          <w:lang w:val="sr-Latn-RS"/>
        </w:rPr>
        <w:t xml:space="preserve">Član 6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Kada podnosilac zahteva aktom o akreditaciji dokazuje osposobljenost za sprovođenje ocenjivanja usaglašenosti prema određenom tehničkom propisu, Komisija proverava pokrivenosti obima poslova za ocenjivanje usaglašenosti koji su predmet zahteva za imenovanje, u odnosu na obim poslova za koje je podnosilac zahteva akreditovan.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je obim poslova za ocenjivanje usaglašenosti, koji je predmet zahteva za imenovanje, u celosti pokriven obimom poslova sadržanih u aktu o akreditaciji iz stava 1. ovog člana, smatra se da je podnosilac zahteva dokazao da ispunjava zahteve za imenovanje koji su utvrđeni tehničkim propisom.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obim poslova za ocenjivanje usaglašenosti, koji je predmet zahteva za imenovanje, nije pokriven obimom poslova koji je sadržan u aktu o akreditaciji, za utvrđeni nepokriveni obim poslova nalaže se podnosiocu zahteva da dostavi dodatnu dokumentaciju kojom dokazuje osposobljenost za onaj obim poslova koji nije pokriven aktom o akreditaciji.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podnosilac zahteva svoju osposobljenost za sprovođenje ocenjivanja usaglašenosti ne dokazuje aktom o akreditaciji, tu osposobljenost podnosilac zahteva može dokazivati drugom odgovarajućom dokumentacijom.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Dokumentacija iz st. 3. i 4. ovog člana, koja ne potiče iz postupka akreditacije, ne može biti starija od šest meseci od dana sačinjavanja ili izdavanja te dokumentacije.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9" w:name="clan_7"/>
      <w:bookmarkEnd w:id="9"/>
      <w:r w:rsidRPr="0085241C">
        <w:rPr>
          <w:rFonts w:ascii="Arial" w:eastAsia="Times New Roman" w:hAnsi="Arial" w:cs="Arial"/>
          <w:b/>
          <w:bCs/>
          <w:sz w:val="24"/>
          <w:szCs w:val="24"/>
          <w:lang w:val="sr-Latn-RS"/>
        </w:rPr>
        <w:t xml:space="preserve">Član 7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Komisija na osnovu podnetog zahteva za imenovanje, priloženih dokaza i utvrđenih činjenica, utvrđuje da li podnosilac zahteva ispunjava zahteve za imenovanje koji su propisani predmetnim tehničkim propisom i o tome sačinjava izveštaj.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Komisija utvrdi da podnosilac zahteva ispunjava zahtev za imenovanje, daje nadležnom ministru predlog za imenovanje, odnosno ako utvrdi da ne ispunjava zahteve za imenovanje predlaže da se podneti zahtev odbije.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Predlog iz stava 2. ovog člana mora biti obrazložen.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Na osnovu predloga iz stava 3. ovog člana, nadležni ministar donosi rešenje o imenovanju podnosioca zahteva ili rešenje o odbijanju zahteva.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0" w:name="clan_8"/>
      <w:bookmarkEnd w:id="10"/>
      <w:r w:rsidRPr="0085241C">
        <w:rPr>
          <w:rFonts w:ascii="Arial" w:eastAsia="Times New Roman" w:hAnsi="Arial" w:cs="Arial"/>
          <w:b/>
          <w:bCs/>
          <w:sz w:val="24"/>
          <w:szCs w:val="24"/>
          <w:lang w:val="sr-Latn-RS"/>
        </w:rPr>
        <w:t xml:space="preserve">Član 8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Rešenje o imenovanju iz člana 7. ove uredbe, sadrži naročito: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lastRenderedPageBreak/>
        <w:t xml:space="preserve">1) poslovno ime, odnosno naziv i adresu sedišta imenovanog tela za ocenjivanje usaglašenosti (u daljem tekstu: Imenovano telo);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2) naziv tehničkog propisa na koji se rešenje odnosi i broja službenog glasila Republike Srbije u kome je taj propis objavljen;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3) vrstu, odnosno naziv proizvoda i druge podatke radi bliže identifikacije proizvoda na koje se rešenje odnosi;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4) obim imenovanja, odnosno detaljan opis poslova za koje je utvrđena osposobljenost Imenovanog tela;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5) identifikaciju i ime ovlašćenog lica odgovornog za potpisivanje isprava o usaglašenosti.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1" w:name="clan_9"/>
      <w:bookmarkEnd w:id="11"/>
      <w:r w:rsidRPr="0085241C">
        <w:rPr>
          <w:rFonts w:ascii="Arial" w:eastAsia="Times New Roman" w:hAnsi="Arial" w:cs="Arial"/>
          <w:b/>
          <w:bCs/>
          <w:sz w:val="24"/>
          <w:szCs w:val="24"/>
          <w:lang w:val="sr-Latn-RS"/>
        </w:rPr>
        <w:t xml:space="preserve">Član 9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Rešenje o imenovanju iz člana 8. ove uredbe, nadležno ministarstvo dostavlja ministarstvu nadležnom za vođenje registra imenovanih, odnosno ovlašćenih tela za ocenjivanje usaglašenosti (u daljem tekstu: Registar), radi upisa, u skladu sa zakonom kojim se uređuju tehnički zahtevi za proizvode i ocenjivanje usaglašenosti i propisom donetim na osnovu tog zakona.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Ministarstvo nadležno za vođenje Registra, na pismeni predlog nadležnog ministarstva, vrši prijavljivanje Imenovanog tela Evropskoj komisiji, u skladu sa potvrđenim međunarodnim sporazumima čiji je potpisnik Republika Srbija.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2" w:name="clan_10"/>
      <w:bookmarkEnd w:id="12"/>
      <w:r w:rsidRPr="0085241C">
        <w:rPr>
          <w:rFonts w:ascii="Arial" w:eastAsia="Times New Roman" w:hAnsi="Arial" w:cs="Arial"/>
          <w:b/>
          <w:bCs/>
          <w:sz w:val="24"/>
          <w:szCs w:val="24"/>
          <w:lang w:val="sr-Latn-RS"/>
        </w:rPr>
        <w:t xml:space="preserve">Član 10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Imenovano telo dužno je da ispunjava zahteve za imenovanje iz tehničkog propisa u pogledu njegove osposobljenosti koja je utvrđena rešenjem o imenovanju, kao i da na zahtev nadležnog ministarstva, u roku koji ne može biti kraći od tri dana od dana prijema tog zahteva, dostavi tražene podatke i obaveštenja u vezi sa poslovima za koje je imenovano, a naročito da dokumentuje sve postupke ocenjivanja usaglašenosti za koje je imenovano.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Proveru nad ispunjavanjem zahteva iz stava 1. ovog člana vrši nadležno ministarstvo, posle izdavanja rešenja o imenovanju.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je imenovano telo svoju osposobljenost za sprovođenje ocenjivanja usaglašenosti, koja je utvrđena rešenjem o imenovanju, u celosti dokazalo aktom o akreditaciji, proveru nad ispunjavanjem zahteva iz stava 1. ovog člana vrši Akreditaciono telo Srbije, u skladu sa zakonom i o rezultatima kontrole obaveštava nadležno ministarstvo.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3" w:name="clan_11"/>
      <w:bookmarkEnd w:id="13"/>
      <w:r w:rsidRPr="0085241C">
        <w:rPr>
          <w:rFonts w:ascii="Arial" w:eastAsia="Times New Roman" w:hAnsi="Arial" w:cs="Arial"/>
          <w:b/>
          <w:bCs/>
          <w:sz w:val="24"/>
          <w:szCs w:val="24"/>
          <w:lang w:val="sr-Latn-RS"/>
        </w:rPr>
        <w:t xml:space="preserve">Član 11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se pri vršenju provere iz člana 10. st. 3. i 4. ove uredbe kod Imenovanog tela utvrde nedostaci u vezi sa ispunjavanjem zahteva za imenovanje ili da postoje drugi nedostaci u izvršavanju obaveza, nadležni ministar donosi rešenje o oduzimanju odobrenja za sprovođenje ocenjivanja usaglašenosti.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lastRenderedPageBreak/>
        <w:t xml:space="preserve">Rešenje iz st. 1. ovog člana sadrži i nalog Imenovanom telu da u roku koji ne može biti duži od tri radna dana od dana prijema tog rešenja izvrši prenos dokumentacije u vezi sa sprovođenjem ocenjivanja usaglašenosti drugom Imenovanom telu po izboru proizvođača ili njegovog zastupnika, odnosno uvoznika (u daljem tekstu: stranka).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Rešenje o oduzimanju odobrenja za sprovođenje ocenjivanja usaglašenosti nadležno ministarstvo dostavlja ministarstvu nadležnom za vođenje Registra, radi brisanja Imenovanog tela iz tog registra, u skladu sa posebnim propisom.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4" w:name="clan_12"/>
      <w:bookmarkEnd w:id="14"/>
      <w:r w:rsidRPr="0085241C">
        <w:rPr>
          <w:rFonts w:ascii="Arial" w:eastAsia="Times New Roman" w:hAnsi="Arial" w:cs="Arial"/>
          <w:b/>
          <w:bCs/>
          <w:sz w:val="24"/>
          <w:szCs w:val="24"/>
          <w:lang w:val="sr-Latn-RS"/>
        </w:rPr>
        <w:t xml:space="preserve">Član 12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Kada Imenovano telo obavesti nadležno ministarstvo da više nije u mogućnosti da obavlja poslove ocenjivanja usaglašenosti navedene u rešenju o imenovanju, o tome obaveštava i stranku po čijem zahtevu obavlja te poslove, radi preuzimanja dokumentacije u vezi sa sprovođenjem ocenjivanja usaglašenosti, odnosno radi prenosa te dokumentacije drugom Imenovanom telu po izboru stranke.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5" w:name="clan_13"/>
      <w:bookmarkEnd w:id="15"/>
      <w:r w:rsidRPr="0085241C">
        <w:rPr>
          <w:rFonts w:ascii="Arial" w:eastAsia="Times New Roman" w:hAnsi="Arial" w:cs="Arial"/>
          <w:b/>
          <w:bCs/>
          <w:sz w:val="24"/>
          <w:szCs w:val="24"/>
          <w:lang w:val="sr-Latn-RS"/>
        </w:rPr>
        <w:t xml:space="preserve">Član 13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Ako se preuzimanje, odnosno prenos dokumentacije u vezi sa sprovođenjem ocenjivanja usaglašenosti iz čl. 11. i 12. ove uredbe nije moglo izvršiti zbog toga što stranka, po čijem zahtevu je vršeno ocenjivanje usaglašenosti, više ne postoji jer je brisana iz Registra privrednih subjekata, Imenovano telo kome je rešenjem oduzeto odobrenje za sprovođenje ocenjivanja usaglašenosti prenosi dokumentaciju nadležnom ministarstvu.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Dokumentacija iz stava 1. ovog člana čuva se u skladu sa propisima kojima se uređuje arhivska građa, a najkasnije do isteka roka utvrđenog predmetnim tehničkim propisom. </w:t>
      </w:r>
    </w:p>
    <w:p w:rsidR="0085241C" w:rsidRPr="0085241C" w:rsidRDefault="0085241C" w:rsidP="0085241C">
      <w:pPr>
        <w:spacing w:after="0" w:line="240" w:lineRule="auto"/>
        <w:jc w:val="center"/>
        <w:rPr>
          <w:rFonts w:ascii="Arial" w:eastAsia="Times New Roman" w:hAnsi="Arial" w:cs="Arial"/>
          <w:sz w:val="31"/>
          <w:szCs w:val="31"/>
          <w:lang w:val="sr-Latn-RS"/>
        </w:rPr>
      </w:pPr>
      <w:bookmarkStart w:id="16" w:name="str_3"/>
      <w:bookmarkEnd w:id="16"/>
      <w:r w:rsidRPr="0085241C">
        <w:rPr>
          <w:rFonts w:ascii="Arial" w:eastAsia="Times New Roman" w:hAnsi="Arial" w:cs="Arial"/>
          <w:sz w:val="31"/>
          <w:szCs w:val="31"/>
          <w:lang w:val="sr-Latn-RS"/>
        </w:rPr>
        <w:t xml:space="preserve">III NAČIN OVLAŠĆIVANJA TELA ZA OCENJIVANJE USAGLAŠENOSTI ZA VRŠENJE TEHNIČKE PROCENE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7" w:name="clan_14"/>
      <w:bookmarkEnd w:id="17"/>
      <w:r w:rsidRPr="0085241C">
        <w:rPr>
          <w:rFonts w:ascii="Arial" w:eastAsia="Times New Roman" w:hAnsi="Arial" w:cs="Arial"/>
          <w:b/>
          <w:bCs/>
          <w:sz w:val="24"/>
          <w:szCs w:val="24"/>
          <w:lang w:val="sr-Latn-RS"/>
        </w:rPr>
        <w:t xml:space="preserve">Član 14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Odredbe čl. 4. do 13. ove uredbe, shodno se primenjuju na ovlašćivanje tela za ocenjivanje usaglašenosti za vršenje tehničke procene.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8" w:name="clan_15"/>
      <w:bookmarkEnd w:id="18"/>
      <w:r w:rsidRPr="0085241C">
        <w:rPr>
          <w:rFonts w:ascii="Arial" w:eastAsia="Times New Roman" w:hAnsi="Arial" w:cs="Arial"/>
          <w:b/>
          <w:bCs/>
          <w:sz w:val="24"/>
          <w:szCs w:val="24"/>
          <w:lang w:val="sr-Latn-RS"/>
        </w:rPr>
        <w:t xml:space="preserve">Član 15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Kada je tehničkim propisom utvrđeno da ocenjivanje usaglašenosti sprovodi organ državne uprave (u daljem tekstu: nadležni organ), a tehničku procenu za potrebe tog organa vrši ovlašćeno telo za ocenjivanje usaglašenosti (u daljem tekstu: Ovlašćeno telo), to telo može da vrši tehničku procenu ako ispunjava zahteve propisane tim tehničkim propisom.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Postupak ovlašćivanja tela za vršenje tehničke procene pokreće se na osnovu javnog poziva za podnošenje prijave koji objavljuje nadležno ministarstvo.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Javni poziv iz stava 2. ovog člana objavljuje se u službenom glasilu Republike Srbije i u najmanje jednim dnevnim novinama koje se distribuiraju na celoj teritoriji Republike Srbije.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lastRenderedPageBreak/>
        <w:t xml:space="preserve">Javni poziv sadrži podatke naročito o: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1) nazivu nadležnog organa za čije potrebe se vrši tehnička procena;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2) potrebnom broju i vrsti tela za tehničku procenu;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3) nazivu tehničkog propisa na koji se javni poziv odnosi i broj službenog glasila Republike Srbije u kome je taj propis objavljen;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4) obimu ovlašćivanja i vrsti proizvoda za koje se vrši tehnička procena;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5) zahtevima iz tehničkog propisa koje mora da ispuni telo za tehničku procenu;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6) dokumentaciji i dokazima koji se prilažu uz prijavu;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7) roku za podnošenje prijave.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Rok za podnošenje prijava po javnom pozivu ne može biti kraći od 15 dana od dana objavljivanja javnog poziva u službenom glasilu Republike Srbije.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19" w:name="clan_16"/>
      <w:bookmarkEnd w:id="19"/>
      <w:r w:rsidRPr="0085241C">
        <w:rPr>
          <w:rFonts w:ascii="Arial" w:eastAsia="Times New Roman" w:hAnsi="Arial" w:cs="Arial"/>
          <w:b/>
          <w:bCs/>
          <w:sz w:val="24"/>
          <w:szCs w:val="24"/>
          <w:lang w:val="sr-Latn-RS"/>
        </w:rPr>
        <w:t xml:space="preserve">Član 16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Javni poziv sprovodi Komisija za ovlašćivanje koju obrazuje za oblast jednog ili više tehničkih propisa, nadležni ministar.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Komisija iz stava 1. ovog člana utvrđuje ispunjenost zahteva za ovlašćivanje u skladu sa tehničkim propisom iz člana 15. stav 4. tačka 3) ove uredbe. </w:t>
      </w:r>
    </w:p>
    <w:p w:rsidR="0085241C" w:rsidRPr="0085241C" w:rsidRDefault="0085241C" w:rsidP="0085241C">
      <w:pPr>
        <w:spacing w:after="0" w:line="240" w:lineRule="auto"/>
        <w:jc w:val="center"/>
        <w:rPr>
          <w:rFonts w:ascii="Arial" w:eastAsia="Times New Roman" w:hAnsi="Arial" w:cs="Arial"/>
          <w:sz w:val="31"/>
          <w:szCs w:val="31"/>
          <w:lang w:val="sr-Latn-RS"/>
        </w:rPr>
      </w:pPr>
      <w:bookmarkStart w:id="20" w:name="str_4"/>
      <w:bookmarkEnd w:id="20"/>
      <w:r w:rsidRPr="0085241C">
        <w:rPr>
          <w:rFonts w:ascii="Arial" w:eastAsia="Times New Roman" w:hAnsi="Arial" w:cs="Arial"/>
          <w:sz w:val="31"/>
          <w:szCs w:val="31"/>
          <w:lang w:val="sr-Latn-RS"/>
        </w:rPr>
        <w:t xml:space="preserve">IV PRELAZNE I ZAVRŠNE ODREDBE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21" w:name="clan_17"/>
      <w:bookmarkEnd w:id="21"/>
      <w:r w:rsidRPr="0085241C">
        <w:rPr>
          <w:rFonts w:ascii="Arial" w:eastAsia="Times New Roman" w:hAnsi="Arial" w:cs="Arial"/>
          <w:b/>
          <w:bCs/>
          <w:sz w:val="24"/>
          <w:szCs w:val="24"/>
          <w:lang w:val="sr-Latn-RS"/>
        </w:rPr>
        <w:t xml:space="preserve">Član 17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Akreditovana, odnosno ovlašćena tela za sprovođenje ocenjivanja usaglašenosti proizvoda sa zahtevima tehničkih propisa koji su doneti pre stupanja na snagu ove uredbe, obavljaju te poslove do imenovanja u skladu sa tehničkim propisima kojima će se utvrditi zahtevi koje moraju da ispune Imenovana tela.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Tela za ocenjivanje usaglašenosti iz stava 1. ovog člana, mogu da, u roku od tri meseca od dana stupanja na snagu tehničkih propisa kojima se utvrđuju zahtevi koje moraju da ispune Imenovana tela, a najkasnije u roku od tri meseca od dana početka njihove primene, podnesu nadležnom ministarstvu zahtev za imenovanje u skladu sa ovom uredbom.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Tela za ocenjivanje usaglašenosti iz stava 1. ovog člana, koja ne podnesu zahtev za imenovanje u propisanom roku, odnosno tela za ocenjivanje usaglašenosti za koja nadležno ministarstvo, po podnetom zahtevu, utvrdi da ne ispunjavaju zahteve tehničkog propisa iz stava 2. ovog člana, neće moći da obavljaju poslove ocenjivanja usaglašenosti kao Imenovana tela u smislu zakona kojim se uređuju tehnički zahtevi za proizvode i ocenjivanje usaglašenosti i ove uredbe.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22" w:name="clan_18"/>
      <w:bookmarkEnd w:id="22"/>
      <w:r w:rsidRPr="0085241C">
        <w:rPr>
          <w:rFonts w:ascii="Arial" w:eastAsia="Times New Roman" w:hAnsi="Arial" w:cs="Arial"/>
          <w:b/>
          <w:bCs/>
          <w:sz w:val="24"/>
          <w:szCs w:val="24"/>
          <w:lang w:val="sr-Latn-RS"/>
        </w:rPr>
        <w:lastRenderedPageBreak/>
        <w:t xml:space="preserve">Član 18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Stupanjem na snagu ove uredbe prestaju da važe odredbe Uredbe o načinu ovlašćivanja tela za ocenjivanje usaglašenosti, registru ovlašćenih tela za ocenjivanje usaglašenosti, evidenciji o ispravama o usaglašenosti, znacima o usaglašenosti i telima za ocenjivanje usaglašenosti, kao i uslovima za primenu tehničkih propisa drugih država ("Službeni list SCG", broj 22/06), u delu kojim se uređuje način ovlašćivanja tela za ocenjivanje usaglašenosti i utvrđivanja ispunjenosti uslova koje mora ispunjavati telo za ocenjivanje usaglašenosti, kao i odredbe čl. 2. do 16. i člana 20. te uredbe. </w:t>
      </w:r>
    </w:p>
    <w:p w:rsidR="0085241C" w:rsidRPr="0085241C" w:rsidRDefault="0085241C" w:rsidP="0085241C">
      <w:pPr>
        <w:spacing w:before="240" w:after="120" w:line="240" w:lineRule="auto"/>
        <w:jc w:val="center"/>
        <w:rPr>
          <w:rFonts w:ascii="Arial" w:eastAsia="Times New Roman" w:hAnsi="Arial" w:cs="Arial"/>
          <w:b/>
          <w:bCs/>
          <w:sz w:val="24"/>
          <w:szCs w:val="24"/>
          <w:lang w:val="sr-Latn-RS"/>
        </w:rPr>
      </w:pPr>
      <w:bookmarkStart w:id="23" w:name="clan_19"/>
      <w:bookmarkEnd w:id="23"/>
      <w:r w:rsidRPr="0085241C">
        <w:rPr>
          <w:rFonts w:ascii="Arial" w:eastAsia="Times New Roman" w:hAnsi="Arial" w:cs="Arial"/>
          <w:b/>
          <w:bCs/>
          <w:sz w:val="24"/>
          <w:szCs w:val="24"/>
          <w:lang w:val="sr-Latn-RS"/>
        </w:rPr>
        <w:t xml:space="preserve">Član 19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Ova uredba stupa na snagu osmog dana od dana objavljivanja u "Službenom glasniku Republike Srbije", a primenjuje se od 1. marta 2010. godine, osim odredbe člana 9. stav 2. ove uredbe koja se primenjuje od dana stupanja na snagu potvrđenog međunarodnog ugovora o ocenjivanju usaglašenosti i prihvatanju industrijskih proizvoda sa Evropskom unijom, u delu proizvoda na koji se taj ugovor odnosi. </w:t>
      </w:r>
    </w:p>
    <w:p w:rsidR="0085241C" w:rsidRPr="0085241C" w:rsidRDefault="0085241C" w:rsidP="0085241C">
      <w:pPr>
        <w:spacing w:before="100" w:beforeAutospacing="1" w:after="100" w:afterAutospacing="1" w:line="240" w:lineRule="auto"/>
        <w:rPr>
          <w:rFonts w:ascii="Arial" w:eastAsia="Times New Roman" w:hAnsi="Arial" w:cs="Arial"/>
          <w:lang w:val="sr-Latn-RS"/>
        </w:rPr>
      </w:pPr>
      <w:r w:rsidRPr="0085241C">
        <w:rPr>
          <w:rFonts w:ascii="Arial" w:eastAsia="Times New Roman" w:hAnsi="Arial" w:cs="Arial"/>
          <w:lang w:val="sr-Latn-RS"/>
        </w:rPr>
        <w:t xml:space="preserve">Odredba člana 9. stav 2. ove uredbe, u delu proizvoda na koje se ne odnosi međunarodni ugovor iz stava 1. ovog člana, primenjuje se od dana pristupanja Republike Srbije Evropskoj uniji. </w:t>
      </w:r>
    </w:p>
    <w:p w:rsidR="000034E2" w:rsidRDefault="000034E2"/>
    <w:sectPr w:rsidR="000034E2" w:rsidSect="00003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41C"/>
    <w:rsid w:val="000034E2"/>
    <w:rsid w:val="0085241C"/>
    <w:rsid w:val="00935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4E2"/>
    <w:pPr>
      <w:spacing w:after="200" w:line="276" w:lineRule="auto"/>
    </w:pPr>
    <w:rPr>
      <w:sz w:val="22"/>
      <w:szCs w:val="22"/>
    </w:rPr>
  </w:style>
  <w:style w:type="paragraph" w:styleId="Naslov6">
    <w:name w:val="heading 6"/>
    <w:basedOn w:val="Normal"/>
    <w:link w:val="Naslov6Char"/>
    <w:uiPriority w:val="9"/>
    <w:qFormat/>
    <w:rsid w:val="0085241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241C"/>
    <w:rPr>
      <w:rFonts w:ascii="Times New Roman" w:eastAsia="Times New Roman" w:hAnsi="Times New Roman" w:cs="Times New Roman"/>
      <w:b/>
      <w:bCs/>
      <w:sz w:val="15"/>
      <w:szCs w:val="15"/>
    </w:rPr>
  </w:style>
  <w:style w:type="paragraph" w:customStyle="1" w:styleId="clan">
    <w:name w:val="clan"/>
    <w:basedOn w:val="Normal"/>
    <w:rsid w:val="0085241C"/>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5241C"/>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85241C"/>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85241C"/>
    <w:pPr>
      <w:spacing w:after="0" w:line="240" w:lineRule="auto"/>
    </w:pPr>
    <w:rPr>
      <w:rFonts w:ascii="Arial" w:eastAsia="Times New Roman" w:hAnsi="Arial" w:cs="Arial"/>
      <w:sz w:val="26"/>
      <w:szCs w:val="26"/>
    </w:rPr>
  </w:style>
  <w:style w:type="paragraph" w:customStyle="1" w:styleId="wyq060---pododeljak">
    <w:name w:val="wyq060---pododeljak"/>
    <w:basedOn w:val="Normal"/>
    <w:rsid w:val="0085241C"/>
    <w:pPr>
      <w:spacing w:after="0" w:line="240" w:lineRule="auto"/>
      <w:jc w:val="center"/>
    </w:pPr>
    <w:rPr>
      <w:rFonts w:ascii="Arial" w:eastAsia="Times New Roman" w:hAnsi="Arial" w:cs="Arial"/>
      <w:sz w:val="31"/>
      <w:szCs w:val="31"/>
    </w:rPr>
  </w:style>
  <w:style w:type="paragraph" w:styleId="Naslov">
    <w:name w:val="Title"/>
    <w:basedOn w:val="Normal"/>
    <w:next w:val="Normal"/>
    <w:link w:val="NaslovChar"/>
    <w:uiPriority w:val="10"/>
    <w:qFormat/>
    <w:rsid w:val="00935A7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35A7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35A7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35A71"/>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4E2"/>
    <w:pPr>
      <w:spacing w:after="200" w:line="276" w:lineRule="auto"/>
    </w:pPr>
    <w:rPr>
      <w:sz w:val="22"/>
      <w:szCs w:val="22"/>
    </w:rPr>
  </w:style>
  <w:style w:type="paragraph" w:styleId="Naslov6">
    <w:name w:val="heading 6"/>
    <w:basedOn w:val="Normal"/>
    <w:link w:val="Naslov6Char"/>
    <w:uiPriority w:val="9"/>
    <w:qFormat/>
    <w:rsid w:val="0085241C"/>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5241C"/>
    <w:rPr>
      <w:rFonts w:ascii="Times New Roman" w:eastAsia="Times New Roman" w:hAnsi="Times New Roman" w:cs="Times New Roman"/>
      <w:b/>
      <w:bCs/>
      <w:sz w:val="15"/>
      <w:szCs w:val="15"/>
    </w:rPr>
  </w:style>
  <w:style w:type="paragraph" w:customStyle="1" w:styleId="clan">
    <w:name w:val="clan"/>
    <w:basedOn w:val="Normal"/>
    <w:rsid w:val="0085241C"/>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85241C"/>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85241C"/>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85241C"/>
    <w:pPr>
      <w:spacing w:after="0" w:line="240" w:lineRule="auto"/>
    </w:pPr>
    <w:rPr>
      <w:rFonts w:ascii="Arial" w:eastAsia="Times New Roman" w:hAnsi="Arial" w:cs="Arial"/>
      <w:sz w:val="26"/>
      <w:szCs w:val="26"/>
    </w:rPr>
  </w:style>
  <w:style w:type="paragraph" w:customStyle="1" w:styleId="wyq060---pododeljak">
    <w:name w:val="wyq060---pododeljak"/>
    <w:basedOn w:val="Normal"/>
    <w:rsid w:val="0085241C"/>
    <w:pPr>
      <w:spacing w:after="0" w:line="240" w:lineRule="auto"/>
      <w:jc w:val="center"/>
    </w:pPr>
    <w:rPr>
      <w:rFonts w:ascii="Arial" w:eastAsia="Times New Roman" w:hAnsi="Arial" w:cs="Arial"/>
      <w:sz w:val="31"/>
      <w:szCs w:val="31"/>
    </w:rPr>
  </w:style>
  <w:style w:type="paragraph" w:styleId="Naslov">
    <w:name w:val="Title"/>
    <w:basedOn w:val="Normal"/>
    <w:next w:val="Normal"/>
    <w:link w:val="NaslovChar"/>
    <w:uiPriority w:val="10"/>
    <w:qFormat/>
    <w:rsid w:val="00935A71"/>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35A71"/>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35A71"/>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35A71"/>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84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2122</Words>
  <Characters>12096</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2018-09-06T09:18:00Z</dcterms:created>
  <dcterms:modified xsi:type="dcterms:W3CDTF">2018-09-06T09:18:00Z</dcterms:modified>
</cp:coreProperties>
</file>