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FAE" w:rsidRPr="00046FAE" w:rsidRDefault="00046FAE" w:rsidP="00046FA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046FAE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046FAE" w:rsidRPr="00046FAE" w:rsidRDefault="00046FAE" w:rsidP="00046FA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046FAE">
        <w:rPr>
          <w:rFonts w:asciiTheme="majorHAnsi" w:hAnsiTheme="majorHAnsi" w:cstheme="majorBidi"/>
          <w:color w:val="17365D" w:themeColor="text2" w:themeShade="BF"/>
          <w:lang w:eastAsia="sr-Latn-RS"/>
        </w:rPr>
        <w:t>O NAČINU OVLAŠĆIVANJA TELA ZA OCENJIVANJE USAGLAŠENOSTI, REGISTRU OVLAŠĆENIH TELA ZA OCENJIVANJE USAGLAŠENOSTI, EVIDENCIJI O ISPRAVAMA O USAGLAŠENOSTI, ZNACIMA USAGLAŠENOSTI I TELIMA ZA OCENJIVANJE USAGLAŠENOSTI, KAO I USLOVIMA ZA PRIMENU TEHNIČKIH PROPISA DRUGIH DRŽAVA</w:t>
      </w:r>
    </w:p>
    <w:p w:rsidR="00046FAE" w:rsidRPr="00046FAE" w:rsidRDefault="00046FAE" w:rsidP="00046FAE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046FAE">
        <w:rPr>
          <w:rFonts w:asciiTheme="majorHAnsi" w:hAnsiTheme="majorHAnsi" w:cstheme="majorBidi"/>
          <w:color w:val="4F81BD" w:themeColor="accent1"/>
          <w:lang w:eastAsia="sr-Latn-RS"/>
        </w:rPr>
        <w:t>("Sl. list SCG", br. 22/2006 i "Sl. glasnik RS", br. 98/2009 - dr. uredbe)</w:t>
      </w:r>
    </w:p>
    <w:p w:rsidR="00046FAE" w:rsidRDefault="00046FAE" w:rsidP="00046FA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5A2B89" w:rsidRPr="005A2B89" w:rsidRDefault="005A2B89" w:rsidP="00046FA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Ovom uredbom uređuju se način ovlašćivanja tela za ocenjivanje usaglašenosti, utvrđivanje ispunjenosti uslova koje mora ispunjavati telo za ocenjivanje usaglašenosti, sadržina i način vođenja registra ovlašćenih tela za ocenjivanje usaglašenosti, sadržina i način vođenja evidencije važećih isprava o usaglašenosti, znakova usaglašenosti izdatih u inostranstvu i telima za ocenjivanje usaglašenosti, kao i uslovi za primenu tehničkih propisa drugih država.</w:t>
      </w:r>
    </w:p>
    <w:p w:rsidR="005A2B89" w:rsidRPr="005A2B89" w:rsidRDefault="005A2B89" w:rsidP="005A2B8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Čl. 2-16</w:t>
      </w:r>
      <w:r w:rsidRPr="005A2B89">
        <w:rPr>
          <w:rFonts w:ascii="Arial" w:eastAsia="Times New Roman" w:hAnsi="Arial" w:cs="Arial"/>
          <w:b/>
          <w:bCs/>
          <w:color w:val="FF0000"/>
          <w:sz w:val="24"/>
          <w:szCs w:val="24"/>
          <w:lang w:val="sr-Latn-RS"/>
        </w:rPr>
        <w:t>*</w:t>
      </w:r>
    </w:p>
    <w:p w:rsidR="005A2B89" w:rsidRPr="005A2B89" w:rsidRDefault="005A2B89" w:rsidP="005A2B8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5A2B89">
        <w:rPr>
          <w:rFonts w:ascii="Arial" w:eastAsia="Times New Roman" w:hAnsi="Arial" w:cs="Arial"/>
          <w:i/>
          <w:iCs/>
          <w:lang w:val="sr-Latn-RS"/>
        </w:rPr>
        <w:t>(Prestali da važe)</w:t>
      </w:r>
    </w:p>
    <w:p w:rsidR="005A2B89" w:rsidRPr="005A2B89" w:rsidRDefault="005A2B89" w:rsidP="005A2B89">
      <w:pPr>
        <w:pStyle w:val="normal0"/>
        <w:rPr>
          <w:color w:val="FF0000"/>
          <w:sz w:val="18"/>
          <w:szCs w:val="18"/>
          <w:lang w:val="sr-Latn-RS"/>
        </w:rPr>
      </w:pPr>
      <w:bookmarkStart w:id="2" w:name="clan_17"/>
      <w:bookmarkEnd w:id="2"/>
      <w:r w:rsidRPr="005A2B89">
        <w:rPr>
          <w:b/>
          <w:bCs/>
          <w:color w:val="FF0000"/>
          <w:sz w:val="18"/>
          <w:szCs w:val="18"/>
          <w:lang w:val="sr-Latn-RS"/>
        </w:rPr>
        <w:t>*</w:t>
      </w:r>
      <w:r w:rsidRPr="005A2B89">
        <w:rPr>
          <w:color w:val="FF0000"/>
          <w:sz w:val="18"/>
          <w:szCs w:val="18"/>
          <w:lang w:val="sr-Latn-RS"/>
        </w:rPr>
        <w:t xml:space="preserve">Stupanjem na snagu Uredbe o načinu imenovanja i ovlašćivanja tela za ocenjivanje usaglašenosti ("Sl. glasnik RS", br. 98/2009), odnosno 8. decembra 2009. godine prestaju da važe odredbe Uredbe o načinu ovlašćivanja tela za ocenjivanje usaglašenosti, registru ovlašćenih tela za ocenjivanje usaglašenosti, evidenciji o ispravama o usaglašenosti, znacima o usaglašenosti i telima za ocenjivanje usaglašenosti, kao i uslovima za primenu tehničkih propisa drugih država ("Službeni list SCG", broj 22/06), u delu kojim se uređuje način ovlašćivanja tela za ocenjivanje usaglašenosti i utvrđivanja ispunjenosti uslova koje mora ispunjavati telo za ocenjivanje usaglašenosti, kao i odredbe </w:t>
      </w:r>
      <w:r w:rsidRPr="005A2B89">
        <w:rPr>
          <w:color w:val="FF0000"/>
          <w:sz w:val="18"/>
          <w:szCs w:val="18"/>
          <w:lang w:val="sr-Latn-RS"/>
        </w:rPr>
        <w:lastRenderedPageBreak/>
        <w:t>čl. 2. do 16. i člana 20. te uredbe.</w:t>
      </w:r>
      <w:r w:rsidRPr="005A2B89">
        <w:rPr>
          <w:color w:val="FF0000"/>
          <w:sz w:val="18"/>
          <w:szCs w:val="18"/>
          <w:lang w:val="sr-Latn-RS"/>
        </w:rPr>
        <w:br/>
      </w:r>
    </w:p>
    <w:p w:rsidR="005A2B89" w:rsidRPr="005A2B89" w:rsidRDefault="005A2B89" w:rsidP="005A2B8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Ministarstvo kao javnu knjigu vodi Registar ovlašćenih tela za ocenjivanje usaglašenosti, koji sadrži: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1) naziv ovlašćenog tela;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2) opis poslova za koje je telo ovlašćeno;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3) identifikacioni broj ovlašćenog tela;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4) rok važenja rešenja o ovlašćivanju.</w:t>
      </w:r>
    </w:p>
    <w:p w:rsid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Ministarstvo vrši prijavljivanje ovlašćenog tela odgovarajućoj međunarodnoj organizaciji (notifikacija).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</w:p>
    <w:p w:rsidR="005A2B89" w:rsidRPr="005A2B89" w:rsidRDefault="005A2B89" w:rsidP="005A2B8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18"/>
      <w:bookmarkEnd w:id="3"/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Ministarstvo kao javnu knjigu vodi Evidenciju o vrstama važećih isprava o usaglašenosti i znacima usaglašenosti koji su izdati u inostranstvu u skladu s međunarodnim ugovorima koji obavezuju Srbiju i Crnu Goru, kao i o telima za ocenjivanje usaglašenosti, koja sadrži sledeće podatke: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1) vrsta isprave o usaglašenosti;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2) naziv države u kojoj je izdata isprava o usaglašenosti;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3) vrsta znaka usaglašenosti;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4) naziv države u kojoj je izdat znak usaglašenosti;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5) naziv tela za ocenjivanje usaglašenosti;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6) naziv države u kojoj je telo za ocenjivanje usaglašenosti ovlašćeno;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7) naziv organa koji je ovlastio telo za ocenjivanje usaglašenosti.</w:t>
      </w:r>
    </w:p>
    <w:p w:rsidR="005A2B89" w:rsidRPr="005A2B89" w:rsidRDefault="005A2B89" w:rsidP="005A2B8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19**"/>
      <w:bookmarkEnd w:id="4"/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19**</w:t>
      </w:r>
    </w:p>
    <w:p w:rsidR="005A2B89" w:rsidRDefault="005A2B89" w:rsidP="005A2B8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5A2B89">
        <w:rPr>
          <w:rFonts w:ascii="Arial" w:eastAsia="Times New Roman" w:hAnsi="Arial" w:cs="Arial"/>
          <w:i/>
          <w:iCs/>
          <w:lang w:val="sr-Latn-RS"/>
        </w:rPr>
        <w:t>(Prestao da važi)</w:t>
      </w:r>
    </w:p>
    <w:p w:rsidR="005A2B89" w:rsidRPr="005A2B89" w:rsidRDefault="005A2B89" w:rsidP="005A2B89">
      <w:pPr>
        <w:pStyle w:val="normal0"/>
        <w:rPr>
          <w:color w:val="FF0000"/>
          <w:sz w:val="18"/>
          <w:szCs w:val="18"/>
          <w:lang w:val="sr-Latn-RS"/>
        </w:rPr>
      </w:pPr>
      <w:r w:rsidRPr="005A2B89">
        <w:rPr>
          <w:b/>
          <w:bCs/>
          <w:color w:val="FF0000"/>
          <w:sz w:val="18"/>
          <w:szCs w:val="18"/>
          <w:lang w:val="sr-Latn-RS"/>
        </w:rPr>
        <w:t>**</w:t>
      </w:r>
      <w:r w:rsidRPr="005A2B89">
        <w:rPr>
          <w:color w:val="FF0000"/>
          <w:sz w:val="18"/>
          <w:szCs w:val="18"/>
          <w:lang w:val="sr-Latn-RS"/>
        </w:rPr>
        <w:t xml:space="preserve">Stupanjem na snagu Uredbe o načinu priznavanja inostranih isprava i znakova usaglašenosti ("Sl. glasnik RS", br. 98/2009), odnosno 8. decembra 2009. godine prestaju da važe odredbe Uredbe o načinu ovlašćivanja tela za ocenjivanje usaglašenosti, registru ovlašćenih tela za ocenjivanje usaglašenosti, evidenciji o ispravama o </w:t>
      </w:r>
      <w:r w:rsidRPr="005A2B89">
        <w:rPr>
          <w:color w:val="FF0000"/>
          <w:sz w:val="18"/>
          <w:szCs w:val="18"/>
          <w:lang w:val="sr-Latn-RS"/>
        </w:rPr>
        <w:lastRenderedPageBreak/>
        <w:t>usaglašenosti, znacima o usaglašenosti i telima za ocenjivanje usaglašenosti, kao i uslovima za primenu tehničkih propisa drugih država ("Službeni list SCG", broj 22/06), u delu kojim se uređuju uslovi za primenu tehničkih propisa drugih država i odredbe člana 19. te uredbe.</w:t>
      </w:r>
    </w:p>
    <w:p w:rsidR="005A2B89" w:rsidRPr="005A2B89" w:rsidRDefault="005A2B89" w:rsidP="005A2B8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20*"/>
      <w:bookmarkEnd w:id="5"/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20*</w:t>
      </w:r>
    </w:p>
    <w:p w:rsidR="005A2B89" w:rsidRPr="005A2B89" w:rsidRDefault="005A2B89" w:rsidP="005A2B8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5A2B89">
        <w:rPr>
          <w:rFonts w:ascii="Arial" w:eastAsia="Times New Roman" w:hAnsi="Arial" w:cs="Arial"/>
          <w:i/>
          <w:iCs/>
          <w:lang w:val="sr-Latn-RS"/>
        </w:rPr>
        <w:t>(Prestao da važi)</w:t>
      </w:r>
    </w:p>
    <w:p w:rsidR="005A2B89" w:rsidRPr="005A2B89" w:rsidRDefault="005A2B89" w:rsidP="005A2B8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21"/>
      <w:bookmarkEnd w:id="6"/>
      <w:r w:rsidRPr="005A2B8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21</w:t>
      </w:r>
    </w:p>
    <w:p w:rsidR="005A2B89" w:rsidRPr="005A2B89" w:rsidRDefault="005A2B89" w:rsidP="005A2B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A2B89">
        <w:rPr>
          <w:rFonts w:ascii="Arial" w:eastAsia="Times New Roman" w:hAnsi="Arial" w:cs="Arial"/>
          <w:lang w:val="sr-Latn-RS"/>
        </w:rPr>
        <w:t>Ova uredba stupa na snagu osmog dana od dana objavljivanja u "Službenom listu SCG".</w:t>
      </w:r>
    </w:p>
    <w:p w:rsidR="00EB1690" w:rsidRDefault="00EB1690"/>
    <w:sectPr w:rsidR="00EB1690" w:rsidSect="00EB16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89"/>
    <w:rsid w:val="00046FAE"/>
    <w:rsid w:val="005A2B89"/>
    <w:rsid w:val="00EB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690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5A2B8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5A2B8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5A2B8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A2B8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5A2B8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italic">
    <w:name w:val="normalcentaritalic"/>
    <w:basedOn w:val="Normal"/>
    <w:rsid w:val="005A2B8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046FA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46FA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46FA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46FA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690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5A2B8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5A2B8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5A2B8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A2B8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5A2B8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italic">
    <w:name w:val="normalcentaritalic"/>
    <w:basedOn w:val="Normal"/>
    <w:rsid w:val="005A2B8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046FA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46FA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46FA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46FA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3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826F8-C75A-4704-8AF3-59DD82342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2018-09-06T09:54:00Z</dcterms:created>
  <dcterms:modified xsi:type="dcterms:W3CDTF">2018-09-06T09:54:00Z</dcterms:modified>
</cp:coreProperties>
</file>